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F6E" w:rsidRPr="00AF0F6E" w:rsidRDefault="00AF0F6E" w:rsidP="00AF0F6E">
      <w:pPr>
        <w:ind w:left="1843" w:right="1983"/>
        <w:jc w:val="both"/>
        <w:rPr>
          <w:rFonts w:ascii="Tahoma" w:hAnsi="Tahoma" w:cs="Tahoma"/>
          <w:i/>
          <w:sz w:val="22"/>
          <w:szCs w:val="22"/>
        </w:rPr>
      </w:pPr>
      <w:r w:rsidRPr="00AF0F6E">
        <w:rPr>
          <w:rFonts w:ascii="Tahoma" w:hAnsi="Tahoma" w:cs="Tahoma"/>
          <w:b/>
          <w:i/>
          <w:sz w:val="22"/>
          <w:szCs w:val="22"/>
        </w:rPr>
        <w:t>Sumilla   :</w:t>
      </w:r>
      <w:r w:rsidRPr="00AF0F6E">
        <w:rPr>
          <w:rFonts w:ascii="Tahoma" w:hAnsi="Tahoma" w:cs="Tahoma"/>
          <w:i/>
          <w:sz w:val="22"/>
          <w:szCs w:val="22"/>
        </w:rPr>
        <w:t xml:space="preserve"> </w:t>
      </w:r>
      <w:r w:rsidRPr="00AF0F6E">
        <w:rPr>
          <w:rFonts w:ascii="Tahoma" w:hAnsi="Tahoma" w:cs="Tahoma"/>
          <w:i/>
          <w:sz w:val="22"/>
          <w:szCs w:val="22"/>
        </w:rPr>
        <w:tab/>
        <w:t>“</w:t>
      </w:r>
      <w:r>
        <w:rPr>
          <w:rFonts w:ascii="Tahoma" w:hAnsi="Tahoma" w:cs="Tahoma"/>
          <w:sz w:val="22"/>
          <w:szCs w:val="22"/>
        </w:rPr>
        <w:t>Cuando exista</w:t>
      </w:r>
      <w:r w:rsidRPr="00AF0F6E">
        <w:rPr>
          <w:rFonts w:ascii="Tahoma" w:hAnsi="Tahoma" w:cs="Tahoma"/>
          <w:sz w:val="22"/>
          <w:szCs w:val="22"/>
        </w:rPr>
        <w:t xml:space="preserve"> desequilibrio y desigualdad </w:t>
      </w:r>
      <w:r w:rsidR="00B91CB1">
        <w:rPr>
          <w:rFonts w:ascii="Tahoma" w:hAnsi="Tahoma" w:cs="Tahoma"/>
          <w:sz w:val="22"/>
          <w:szCs w:val="22"/>
        </w:rPr>
        <w:t xml:space="preserve">evidente </w:t>
      </w:r>
      <w:r>
        <w:rPr>
          <w:rFonts w:ascii="Tahoma" w:hAnsi="Tahoma" w:cs="Tahoma"/>
          <w:sz w:val="22"/>
          <w:szCs w:val="22"/>
        </w:rPr>
        <w:t xml:space="preserve">en </w:t>
      </w:r>
      <w:r w:rsidRPr="00AF0F6E">
        <w:rPr>
          <w:rFonts w:ascii="Tahoma" w:hAnsi="Tahoma" w:cs="Tahoma"/>
          <w:sz w:val="22"/>
          <w:szCs w:val="22"/>
        </w:rPr>
        <w:t xml:space="preserve">una </w:t>
      </w:r>
      <w:r>
        <w:rPr>
          <w:rFonts w:ascii="Tahoma" w:hAnsi="Tahoma" w:cs="Tahoma"/>
          <w:sz w:val="22"/>
          <w:szCs w:val="22"/>
        </w:rPr>
        <w:t xml:space="preserve">posible </w:t>
      </w:r>
      <w:r w:rsidRPr="00AF0F6E">
        <w:rPr>
          <w:rFonts w:ascii="Tahoma" w:hAnsi="Tahoma" w:cs="Tahoma"/>
          <w:sz w:val="22"/>
          <w:szCs w:val="22"/>
        </w:rPr>
        <w:t>relación contractual, la Entidad no puede obligar a un administrado a firmar contrato y</w:t>
      </w:r>
      <w:r>
        <w:rPr>
          <w:rFonts w:ascii="Tahoma" w:hAnsi="Tahoma" w:cs="Tahoma"/>
          <w:sz w:val="22"/>
          <w:szCs w:val="22"/>
        </w:rPr>
        <w:t xml:space="preserve"> a mantener su oferta bajo dichas</w:t>
      </w:r>
      <w:r w:rsidRPr="00AF0F6E">
        <w:rPr>
          <w:rFonts w:ascii="Tahoma" w:hAnsi="Tahoma" w:cs="Tahoma"/>
          <w:sz w:val="22"/>
          <w:szCs w:val="22"/>
        </w:rPr>
        <w:t xml:space="preserve"> condiciones, pues eso implicaría un abuso del derecho</w:t>
      </w:r>
      <w:r>
        <w:rPr>
          <w:rFonts w:ascii="Tahoma" w:hAnsi="Tahoma" w:cs="Tahoma"/>
          <w:sz w:val="22"/>
          <w:szCs w:val="22"/>
        </w:rPr>
        <w:t>”</w:t>
      </w:r>
    </w:p>
    <w:p w:rsidR="00AF0F6E" w:rsidRPr="00AF0F6E" w:rsidRDefault="00AF0F6E" w:rsidP="00AF0F6E">
      <w:pPr>
        <w:pStyle w:val="Textoindependiente3"/>
        <w:spacing w:after="0"/>
        <w:rPr>
          <w:rFonts w:ascii="Tahoma" w:hAnsi="Tahoma" w:cs="Tahoma"/>
          <w:i/>
          <w:sz w:val="22"/>
          <w:szCs w:val="22"/>
          <w:lang w:val="es-ES"/>
        </w:rPr>
      </w:pPr>
    </w:p>
    <w:p w:rsidR="00AF0F6E" w:rsidRPr="00AF0F6E" w:rsidRDefault="00AF0F6E" w:rsidP="00AF0F6E">
      <w:pPr>
        <w:pStyle w:val="Textoindependiente3"/>
        <w:spacing w:after="0"/>
        <w:ind w:left="5387"/>
        <w:jc w:val="both"/>
        <w:rPr>
          <w:rFonts w:ascii="Tahoma" w:hAnsi="Tahoma" w:cs="Tahoma"/>
          <w:b/>
          <w:sz w:val="22"/>
          <w:szCs w:val="22"/>
        </w:rPr>
      </w:pPr>
      <w:r w:rsidRPr="00AF0F6E">
        <w:rPr>
          <w:rFonts w:ascii="Tahoma" w:hAnsi="Tahoma" w:cs="Tahoma"/>
          <w:b/>
          <w:sz w:val="22"/>
          <w:szCs w:val="22"/>
        </w:rPr>
        <w:t>Lima,</w:t>
      </w:r>
      <w:r w:rsidR="00D707CA">
        <w:rPr>
          <w:rFonts w:ascii="Tahoma" w:hAnsi="Tahoma" w:cs="Tahoma"/>
          <w:b/>
          <w:sz w:val="22"/>
          <w:szCs w:val="22"/>
        </w:rPr>
        <w:t xml:space="preserve"> 27 de Abril de 2011</w:t>
      </w:r>
    </w:p>
    <w:p w:rsidR="00AF0F6E" w:rsidRPr="00AF0F6E" w:rsidRDefault="00AF0F6E" w:rsidP="00AF0F6E">
      <w:pPr>
        <w:pStyle w:val="Textoindependiente3"/>
        <w:spacing w:after="0"/>
        <w:ind w:left="5387"/>
        <w:jc w:val="both"/>
        <w:rPr>
          <w:rFonts w:ascii="Tahoma" w:hAnsi="Tahoma" w:cs="Tahoma"/>
          <w:b/>
          <w:sz w:val="22"/>
          <w:szCs w:val="22"/>
        </w:rPr>
      </w:pPr>
    </w:p>
    <w:p w:rsidR="00AF0F6E" w:rsidRPr="00AF0F6E" w:rsidRDefault="00AF0F6E" w:rsidP="00AF0F6E">
      <w:pPr>
        <w:ind w:firstLine="567"/>
        <w:contextualSpacing/>
        <w:jc w:val="both"/>
        <w:rPr>
          <w:rFonts w:ascii="Tahoma" w:hAnsi="Tahoma" w:cs="Tahoma"/>
          <w:i/>
          <w:sz w:val="22"/>
          <w:szCs w:val="22"/>
        </w:rPr>
      </w:pPr>
      <w:r w:rsidRPr="00AF0F6E">
        <w:rPr>
          <w:rFonts w:ascii="Tahoma" w:hAnsi="Tahoma" w:cs="Tahoma"/>
          <w:b/>
          <w:sz w:val="22"/>
          <w:szCs w:val="22"/>
        </w:rPr>
        <w:t xml:space="preserve">Visto </w:t>
      </w:r>
      <w:r w:rsidR="00B91CB1">
        <w:rPr>
          <w:rFonts w:ascii="Tahoma" w:hAnsi="Tahoma" w:cs="Tahoma"/>
          <w:sz w:val="22"/>
          <w:szCs w:val="22"/>
        </w:rPr>
        <w:t>en sesión de fecha 27</w:t>
      </w:r>
      <w:r w:rsidRPr="00AF0F6E">
        <w:rPr>
          <w:rFonts w:ascii="Tahoma" w:hAnsi="Tahoma" w:cs="Tahoma"/>
          <w:sz w:val="22"/>
          <w:szCs w:val="22"/>
        </w:rPr>
        <w:t xml:space="preserve"> de abril del 2011 la Primera Sala del Tribunal de Contrataciones </w:t>
      </w:r>
      <w:r w:rsidR="00B91CB1">
        <w:rPr>
          <w:rFonts w:ascii="Tahoma" w:hAnsi="Tahoma" w:cs="Tahoma"/>
          <w:sz w:val="22"/>
          <w:szCs w:val="22"/>
        </w:rPr>
        <w:t>del Estado el Expediente N° 2873.2008</w:t>
      </w:r>
      <w:r w:rsidRPr="00AF0F6E">
        <w:rPr>
          <w:rFonts w:ascii="Tahoma" w:hAnsi="Tahoma" w:cs="Tahoma"/>
          <w:sz w:val="22"/>
          <w:szCs w:val="22"/>
        </w:rPr>
        <w:t xml:space="preserve">-TC; sobre el procedimiento administrativo sancionador iniciado contra </w:t>
      </w:r>
      <w:r w:rsidR="00B91CB1" w:rsidRPr="00AF0F6E">
        <w:rPr>
          <w:rFonts w:ascii="Tahoma" w:hAnsi="Tahoma" w:cs="Tahoma"/>
          <w:sz w:val="22"/>
          <w:szCs w:val="22"/>
        </w:rPr>
        <w:t>CHAVEZ ARAGON GUIDO JORGE</w:t>
      </w:r>
      <w:r w:rsidRPr="00AF0F6E">
        <w:rPr>
          <w:rFonts w:ascii="Tahoma" w:hAnsi="Tahoma" w:cs="Tahoma"/>
          <w:sz w:val="22"/>
          <w:szCs w:val="22"/>
        </w:rPr>
        <w:t xml:space="preserve">, </w:t>
      </w:r>
      <w:r w:rsidR="00B91CB1" w:rsidRPr="00AF0F6E">
        <w:rPr>
          <w:rFonts w:ascii="Tahoma" w:hAnsi="Tahoma" w:cs="Tahoma"/>
          <w:sz w:val="22"/>
          <w:szCs w:val="22"/>
          <w:lang w:val="es-PE"/>
        </w:rPr>
        <w:t>por supuesta responsabilidad al no mantener su oferta hasta la suscripción del contrato y no suscribir el mismo de manera injustificada, derivado del proceso de selección Adjudicación de Menor Cuantía Nº 154-2008-CEP-MPLC</w:t>
      </w:r>
      <w:r w:rsidRPr="00AF0F6E">
        <w:rPr>
          <w:rFonts w:ascii="Tahoma" w:hAnsi="Tahoma" w:cs="Tahoma"/>
          <w:sz w:val="22"/>
          <w:szCs w:val="22"/>
        </w:rPr>
        <w:t>.</w:t>
      </w:r>
    </w:p>
    <w:p w:rsidR="00AF0F6E" w:rsidRPr="00AF0F6E" w:rsidRDefault="00AF0F6E" w:rsidP="00AF0F6E">
      <w:pPr>
        <w:ind w:firstLine="567"/>
        <w:contextualSpacing/>
        <w:jc w:val="both"/>
        <w:rPr>
          <w:rFonts w:ascii="Tahoma" w:hAnsi="Tahoma" w:cs="Tahoma"/>
          <w:b/>
          <w:sz w:val="22"/>
          <w:szCs w:val="22"/>
          <w:lang w:val="es-ES_tradnl"/>
        </w:rPr>
      </w:pPr>
    </w:p>
    <w:p w:rsidR="00AF0F6E" w:rsidRPr="00AF0F6E" w:rsidRDefault="00AF0F6E" w:rsidP="00AF0F6E">
      <w:pPr>
        <w:pStyle w:val="Prrafodelista"/>
        <w:numPr>
          <w:ilvl w:val="0"/>
          <w:numId w:val="1"/>
        </w:numPr>
        <w:ind w:left="567" w:hanging="425"/>
        <w:rPr>
          <w:rFonts w:ascii="Tahoma" w:hAnsi="Tahoma" w:cs="Tahoma"/>
          <w:b/>
          <w:sz w:val="22"/>
          <w:szCs w:val="22"/>
        </w:rPr>
      </w:pPr>
      <w:r w:rsidRPr="00AF0F6E">
        <w:rPr>
          <w:rFonts w:ascii="Tahoma" w:hAnsi="Tahoma" w:cs="Tahoma"/>
          <w:b/>
          <w:sz w:val="22"/>
          <w:szCs w:val="22"/>
        </w:rPr>
        <w:t>ANTECEDENTES:</w:t>
      </w:r>
    </w:p>
    <w:p w:rsidR="00AF0F6E" w:rsidRPr="00AF0F6E" w:rsidRDefault="00AF0F6E" w:rsidP="00AF0F6E">
      <w:pPr>
        <w:jc w:val="both"/>
        <w:rPr>
          <w:rFonts w:ascii="Tahoma" w:hAnsi="Tahoma" w:cs="Tahoma"/>
          <w:b/>
          <w:sz w:val="22"/>
          <w:szCs w:val="22"/>
          <w:lang w:eastAsia="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El 05 de mayo de 2008, la Municipalidad Provincial de la Convención, en adelante La Entidad, convocó la Adjudicación de Menor Cuantía Nº 154-2008-CEP-MPLC (Primera Convocatoria), para “Adquisición de fierro corrugado para la obra mejoramiento servicios educativos de nivel inicial 265 Quillabamba”, por un Valor Referencial de S/.</w:t>
      </w:r>
      <w:r w:rsidRPr="00AF0F6E">
        <w:rPr>
          <w:rFonts w:ascii="Tahoma" w:hAnsi="Tahoma" w:cs="Tahoma"/>
          <w:sz w:val="22"/>
          <w:szCs w:val="22"/>
        </w:rPr>
        <w:t xml:space="preserve">35,201.67  </w:t>
      </w:r>
      <w:r w:rsidRPr="00AF0F6E">
        <w:rPr>
          <w:rFonts w:ascii="Tahoma" w:hAnsi="Tahoma" w:cs="Tahoma"/>
          <w:sz w:val="22"/>
          <w:szCs w:val="22"/>
          <w:lang w:val="es-PE"/>
        </w:rPr>
        <w:t xml:space="preserve">(Treinta y cinco mil doscientos uno con 067/100 Nuevos Soles). </w:t>
      </w:r>
    </w:p>
    <w:p w:rsidR="00AF0F6E" w:rsidRPr="00AF0F6E" w:rsidRDefault="00AF0F6E" w:rsidP="00AF0F6E">
      <w:pPr>
        <w:ind w:left="540"/>
        <w:jc w:val="both"/>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 xml:space="preserve">Como resultado del citado proceso, con fecha 08 de mayo del 2008, La Entidad otorgó la Buena Pro a </w:t>
      </w:r>
      <w:r w:rsidRPr="00AF0F6E">
        <w:rPr>
          <w:rFonts w:ascii="Tahoma" w:hAnsi="Tahoma" w:cs="Tahoma"/>
          <w:sz w:val="22"/>
          <w:szCs w:val="22"/>
        </w:rPr>
        <w:t>CHAVEZ ARAGON GUIDO JORGE</w:t>
      </w:r>
      <w:r w:rsidRPr="00AF0F6E">
        <w:rPr>
          <w:rFonts w:ascii="Tahoma" w:hAnsi="Tahoma" w:cs="Tahoma"/>
          <w:sz w:val="22"/>
          <w:szCs w:val="22"/>
          <w:lang w:val="es-PE"/>
        </w:rPr>
        <w:t>, en lo sucesivo el Postor, por haber obtenido el máximo puntaje en la evaluación.</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Mediante escrito presentado el 14 de mayo del 2008, el Postor comunicó a la Entidad el desistimiento de su oferta por la cual se le adjudicó la Buena Pro, toda vez que en el precio del bien ofrecido había sufrido un incremento del 16%.</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A través de la Carta Nº 185-UA-MPLC de fecha 21 de mayo de 2008, la Entidad invitó al Postor a apersonarse a sus instalaciones para suscribir el contrato respectivo.</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Con Carta Nº 186-UA-MPLC de fecha 21 de mayo del 2008, la Entidad citó al postor que ocupó el segundo lugar en el orden de prelación del proceso de selección, es decir el señor Juan Antonio Zegarra Levano, para suscribir el contrato respectivo, en vista que el Postor mediante escrito de fecha 14 de mayo del 2008 se había desistido de su oferta por la cual se le otorgó la Buena Pro.</w:t>
      </w:r>
    </w:p>
    <w:p w:rsidR="00AF0F6E" w:rsidRPr="00AF0F6E" w:rsidRDefault="00AF0F6E" w:rsidP="00AF0F6E">
      <w:pPr>
        <w:rPr>
          <w:rFonts w:ascii="Tahoma" w:hAnsi="Tahoma" w:cs="Tahoma"/>
          <w:sz w:val="22"/>
          <w:szCs w:val="22"/>
          <w:lang w:val="es-PE"/>
        </w:rPr>
      </w:pPr>
    </w:p>
    <w:p w:rsidR="00AF0F6E" w:rsidRPr="00AF0F6E" w:rsidRDefault="00AF0F6E" w:rsidP="00AF0F6E">
      <w:pPr>
        <w:ind w:left="540"/>
        <w:jc w:val="both"/>
        <w:rPr>
          <w:rFonts w:ascii="Tahoma" w:hAnsi="Tahoma" w:cs="Tahoma"/>
          <w:sz w:val="22"/>
          <w:szCs w:val="22"/>
          <w:lang w:val="es-PE"/>
        </w:rPr>
      </w:pPr>
      <w:r w:rsidRPr="00AF0F6E">
        <w:rPr>
          <w:rFonts w:ascii="Tahoma" w:hAnsi="Tahoma" w:cs="Tahoma"/>
          <w:sz w:val="22"/>
          <w:szCs w:val="22"/>
          <w:lang w:val="es-PE"/>
        </w:rPr>
        <w:lastRenderedPageBreak/>
        <w:t>Cabe precisar que en la carta anteriormente señalada, se puede advertir que el señor Juan Antonio Zegarra Levano consignó que no se pudo entregar el fierro por el alza de precios.</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Mediante Resolución de Alcaldía Nº 492-2008-A-OSG-MPLC de fecha 03 de junio del 2008, la Entidad declaró desierto, entre otros, el proceso de selección Adjudicación de Menor Cuantía Nº 154-2008-CEP-MPLC (Primera Convocatoria), por la negativa de los postores de suscribir el contrato por el incremento de fierro, alambres, clavos en el mercado, por el cual es imposible cumplir con los precios ofertados según las bases.</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 xml:space="preserve">A través del escrito presentado el 30 de julio del 2008, la Entidad puso en conocimiento del Tribunal de Contrataciones y Adquisiciones del Estado, en lo sucesivo el Tribunal, que el Postor no había cumplido con suscribir el contrato derivado de la Adjudicación Menor Cuantía Nº 154-2008-CEP-MPLC. </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Con decreto de fecha 04 de agosto del 2008, previo al inicio del procedimiento administrativo sancionador, el Tribunal requirió a la Entidad que remita la comunicación, mediante la cual se citó al postor para suscribir el contrato respectivo, en la cual debía constar la fecha cierta de su recepción.</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Al respecto, no habiendo cumplido la Entidad con remitir la información y documentación requerida, mediante decreto de fecha 29 de setiembre del 2008, se le reiteró que cumpla con lo solicitado.</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El 06 de julio del 2009, la Entidad informó que la controversia con el Postor, respecto del proceso de selección Adjudicación de Menor Cuantía Nº 167-CEP-MPLC, proceso distinto al que es materia de análisis en el presente procedimiento administrativo sancionador, no había sido sometida a proceso arbitral u otro mecanismo de solución de conflictos.</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Mediante decreto de fecha 09 de julio de 2009, se remitió el expediente a la Cuarta Sala del Tribunal, para que evalúe la procedencia del inicio del procedimiento administrativo sancionador contra el Postor.</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A través del Acuerdo Nº 636/2009-TC-S4 de fecha 30 de octubre del 2009, se dispuso el inicio del procedimiento administrativo sancionador contra el Postor por su supuesta responsabilidad al no mantener su oferta hasta la suscripción del contrato y no suscribir el mismo de manera injustificada, causal de sanción prevista en el numeral 1 del artículo 294 del Reglamento.</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 xml:space="preserve">Con decreto de fecha 30 de diciembre del 2009, se inició procedimiento administrativo sancionador contra el Postor, por supuesta responsabilidad al no mantener su oferta hasta la suscripción del contrato y no suscribir el mismo de </w:t>
      </w:r>
      <w:r w:rsidRPr="00AF0F6E">
        <w:rPr>
          <w:rFonts w:ascii="Tahoma" w:hAnsi="Tahoma" w:cs="Tahoma"/>
          <w:sz w:val="22"/>
          <w:szCs w:val="22"/>
          <w:lang w:val="es-PE"/>
        </w:rPr>
        <w:lastRenderedPageBreak/>
        <w:t>manera injustificada, derivado del proceso de selección Adjudicación de Menor Cuantía Nº 154-2008-CEP-MPLC.</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Teniendo en consideración que el Postor no cumplió con presentar sus descargos, mediante decreto de fecha 02 de marzo del 2010 se hizo efectivo el apercibimiento de resolver con la documentación obrante en autos y se remitió el presente expediente a la Cuarta Sala del Tribunal para que resuelva.</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Mediante escritos presentados el 02 y 04 de marzo del 2010, respectivamente, ante la Oficina Desconcentrada de Cusco y remitido a Mesa de Partes del Tribunal el 08 de marzo del 2010, el Postor señaló lo siguiente:</w:t>
      </w: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pStyle w:val="Prrafodelista"/>
        <w:widowControl/>
        <w:numPr>
          <w:ilvl w:val="0"/>
          <w:numId w:val="8"/>
        </w:numPr>
        <w:suppressAutoHyphens w:val="0"/>
        <w:ind w:left="1134" w:hanging="567"/>
        <w:jc w:val="both"/>
        <w:rPr>
          <w:rFonts w:ascii="Tahoma" w:hAnsi="Tahoma" w:cs="Tahoma"/>
          <w:sz w:val="22"/>
          <w:szCs w:val="22"/>
          <w:lang w:val="es-PE"/>
        </w:rPr>
      </w:pPr>
      <w:r w:rsidRPr="00AF0F6E">
        <w:rPr>
          <w:rFonts w:ascii="Tahoma" w:hAnsi="Tahoma" w:cs="Tahoma"/>
          <w:sz w:val="22"/>
          <w:szCs w:val="22"/>
          <w:lang w:val="es-PE"/>
        </w:rPr>
        <w:t>La Entidad no ha seguido el procedimiento establecido para la suscripción del contrato, al no haber sido notificado para dicho acto, tal como se puede advertir de la Carta Nº 185-UA-MPLC de fecha 21 de mayo del 2008, el cual no ha sido notificado, por ello, nunca se enteró de dicho acto.</w:t>
      </w:r>
    </w:p>
    <w:p w:rsidR="00AF0F6E" w:rsidRPr="00AF0F6E" w:rsidRDefault="00AF0F6E" w:rsidP="00AF0F6E">
      <w:pPr>
        <w:ind w:left="1134" w:hanging="567"/>
        <w:jc w:val="both"/>
        <w:rPr>
          <w:rFonts w:ascii="Tahoma" w:hAnsi="Tahoma" w:cs="Tahoma"/>
          <w:sz w:val="22"/>
          <w:szCs w:val="22"/>
          <w:lang w:val="es-PE"/>
        </w:rPr>
      </w:pPr>
    </w:p>
    <w:p w:rsidR="00AF0F6E" w:rsidRPr="00AF0F6E" w:rsidRDefault="00AF0F6E" w:rsidP="00AF0F6E">
      <w:pPr>
        <w:pStyle w:val="Prrafodelista"/>
        <w:widowControl/>
        <w:numPr>
          <w:ilvl w:val="0"/>
          <w:numId w:val="8"/>
        </w:numPr>
        <w:suppressAutoHyphens w:val="0"/>
        <w:ind w:left="1134" w:hanging="567"/>
        <w:jc w:val="both"/>
        <w:rPr>
          <w:rFonts w:ascii="Tahoma" w:hAnsi="Tahoma" w:cs="Tahoma"/>
          <w:sz w:val="22"/>
          <w:szCs w:val="22"/>
          <w:lang w:val="es-PE"/>
        </w:rPr>
      </w:pPr>
      <w:r w:rsidRPr="00AF0F6E">
        <w:rPr>
          <w:rFonts w:ascii="Tahoma" w:hAnsi="Tahoma" w:cs="Tahoma"/>
          <w:sz w:val="22"/>
          <w:szCs w:val="22"/>
          <w:lang w:val="es-PE"/>
        </w:rPr>
        <w:t>Asimismo, señaló que después de solicitar al INSTITUTO NACIONAL DE ESTADÍSTICAS E INFORMÁTICA, el promedio del precio mensual de los principales productos de materiales de construcción, dicha entidad remitió un cuadro, el mismo que se adjuntó en su escrito de descargos, en el cual se advierte que los fierros de construcción de ½”, 3/8”, y 5/8”, unidad de medida de la varilla objeto del proceso de selección del cual se derivaron los hechos materia de denuncia, se ha incrementado del 21.45% de abril a mayo del 2008, debiéndose tener en consideración que dichos precios corresponden al estudio en el Norte y Arequipa, es decir donde se producen los fierros, por lo cual los precios al interior del país se incrementan por el transporte, por lo tanto, de dicha información, se advierte lo siguiente precios:</w:t>
      </w:r>
    </w:p>
    <w:p w:rsidR="00AF0F6E" w:rsidRPr="00AF0F6E" w:rsidRDefault="00AF0F6E" w:rsidP="00AF0F6E">
      <w:pPr>
        <w:jc w:val="both"/>
        <w:rPr>
          <w:rFonts w:ascii="Tahoma" w:hAnsi="Tahoma" w:cs="Tahoma"/>
          <w:sz w:val="22"/>
          <w:szCs w:val="22"/>
          <w:lang w:val="es-PE"/>
        </w:rPr>
      </w:pPr>
    </w:p>
    <w:p w:rsidR="00AF0F6E" w:rsidRPr="00AF0F6E" w:rsidRDefault="00AF0F6E" w:rsidP="00AF0F6E">
      <w:pPr>
        <w:pStyle w:val="Prrafodelista"/>
        <w:widowControl/>
        <w:numPr>
          <w:ilvl w:val="0"/>
          <w:numId w:val="7"/>
        </w:numPr>
        <w:suppressAutoHyphens w:val="0"/>
        <w:jc w:val="center"/>
        <w:rPr>
          <w:rFonts w:ascii="Tahoma" w:hAnsi="Tahoma" w:cs="Tahoma"/>
          <w:sz w:val="22"/>
          <w:szCs w:val="22"/>
          <w:lang w:val="es-PE"/>
        </w:rPr>
      </w:pPr>
      <w:r w:rsidRPr="00AF0F6E">
        <w:rPr>
          <w:rFonts w:ascii="Tahoma" w:hAnsi="Tahoma" w:cs="Tahoma"/>
          <w:sz w:val="22"/>
          <w:szCs w:val="22"/>
          <w:lang w:val="es-PE"/>
        </w:rPr>
        <w:t>Abril: S/. 30.26 Nuevos Soles</w:t>
      </w:r>
    </w:p>
    <w:p w:rsidR="00AF0F6E" w:rsidRPr="00AF0F6E" w:rsidRDefault="00AF0F6E" w:rsidP="00AF0F6E">
      <w:pPr>
        <w:pStyle w:val="Prrafodelista"/>
        <w:widowControl/>
        <w:numPr>
          <w:ilvl w:val="0"/>
          <w:numId w:val="7"/>
        </w:numPr>
        <w:suppressAutoHyphens w:val="0"/>
        <w:jc w:val="center"/>
        <w:rPr>
          <w:rFonts w:ascii="Tahoma" w:hAnsi="Tahoma" w:cs="Tahoma"/>
          <w:sz w:val="22"/>
          <w:szCs w:val="22"/>
          <w:lang w:val="es-PE"/>
        </w:rPr>
      </w:pPr>
      <w:r w:rsidRPr="00AF0F6E">
        <w:rPr>
          <w:rFonts w:ascii="Tahoma" w:hAnsi="Tahoma" w:cs="Tahoma"/>
          <w:sz w:val="22"/>
          <w:szCs w:val="22"/>
          <w:lang w:val="es-PE"/>
        </w:rPr>
        <w:t>Mayo: S/. 36.75 Nuevos Soles</w:t>
      </w:r>
    </w:p>
    <w:p w:rsidR="00AF0F6E" w:rsidRPr="00AF0F6E" w:rsidRDefault="00AF0F6E" w:rsidP="00AF0F6E">
      <w:pPr>
        <w:pStyle w:val="Prrafodelista"/>
        <w:widowControl/>
        <w:numPr>
          <w:ilvl w:val="0"/>
          <w:numId w:val="7"/>
        </w:numPr>
        <w:suppressAutoHyphens w:val="0"/>
        <w:jc w:val="center"/>
        <w:rPr>
          <w:rFonts w:ascii="Tahoma" w:hAnsi="Tahoma" w:cs="Tahoma"/>
          <w:sz w:val="22"/>
          <w:szCs w:val="22"/>
          <w:lang w:val="es-PE"/>
        </w:rPr>
      </w:pPr>
      <w:r w:rsidRPr="00AF0F6E">
        <w:rPr>
          <w:rFonts w:ascii="Tahoma" w:hAnsi="Tahoma" w:cs="Tahoma"/>
          <w:sz w:val="22"/>
          <w:szCs w:val="22"/>
          <w:lang w:val="es-PE"/>
        </w:rPr>
        <w:t>Junio: S/. 39.12 Nuevos Soles</w:t>
      </w:r>
    </w:p>
    <w:p w:rsidR="00AF0F6E" w:rsidRPr="00AF0F6E" w:rsidRDefault="00AF0F6E" w:rsidP="00AF0F6E">
      <w:pPr>
        <w:jc w:val="both"/>
        <w:rPr>
          <w:rFonts w:ascii="Tahoma" w:hAnsi="Tahoma" w:cs="Tahoma"/>
          <w:sz w:val="22"/>
          <w:szCs w:val="22"/>
          <w:lang w:val="es-PE"/>
        </w:rPr>
      </w:pPr>
    </w:p>
    <w:p w:rsidR="00AF0F6E" w:rsidRPr="00AF0F6E" w:rsidRDefault="00AF0F6E" w:rsidP="00AF0F6E">
      <w:pPr>
        <w:pStyle w:val="Prrafodelista"/>
        <w:widowControl/>
        <w:numPr>
          <w:ilvl w:val="0"/>
          <w:numId w:val="8"/>
        </w:numPr>
        <w:suppressAutoHyphens w:val="0"/>
        <w:ind w:left="1134" w:hanging="567"/>
        <w:jc w:val="both"/>
        <w:rPr>
          <w:rFonts w:ascii="Tahoma" w:hAnsi="Tahoma" w:cs="Tahoma"/>
          <w:sz w:val="22"/>
          <w:szCs w:val="22"/>
          <w:lang w:val="es-PE"/>
        </w:rPr>
      </w:pPr>
      <w:r w:rsidRPr="00AF0F6E">
        <w:rPr>
          <w:rFonts w:ascii="Tahoma" w:hAnsi="Tahoma" w:cs="Tahoma"/>
          <w:sz w:val="22"/>
          <w:szCs w:val="22"/>
          <w:lang w:val="es-PE"/>
        </w:rPr>
        <w:t>En tal sentido, teniendo en consideración que la causal de infracción se configura cuando no se suscribe el contrato o se recibe la orden de compra de manera injustificada, en el presente caso habría ocurrido lo contrario, toda vez que por un incremento sustancial de los precios en el mercado del 21.45% se desnaturalizaría el vínculo contractual, al no existir un equilibrio entre las partes.</w:t>
      </w:r>
    </w:p>
    <w:p w:rsidR="00AF0F6E" w:rsidRPr="00AF0F6E" w:rsidRDefault="00AF0F6E" w:rsidP="00AF0F6E">
      <w:pPr>
        <w:pStyle w:val="Prrafodelista"/>
        <w:ind w:left="1134"/>
        <w:jc w:val="both"/>
        <w:rPr>
          <w:rFonts w:ascii="Tahoma" w:hAnsi="Tahoma" w:cs="Tahoma"/>
          <w:sz w:val="22"/>
          <w:szCs w:val="22"/>
          <w:lang w:val="es-PE"/>
        </w:rPr>
      </w:pPr>
    </w:p>
    <w:p w:rsidR="00AF0F6E" w:rsidRPr="00AF0F6E" w:rsidRDefault="00AF0F6E" w:rsidP="00AF0F6E">
      <w:pPr>
        <w:pStyle w:val="Prrafodelista"/>
        <w:widowControl/>
        <w:numPr>
          <w:ilvl w:val="0"/>
          <w:numId w:val="8"/>
        </w:numPr>
        <w:suppressAutoHyphens w:val="0"/>
        <w:ind w:left="1134" w:hanging="567"/>
        <w:jc w:val="both"/>
        <w:rPr>
          <w:rFonts w:ascii="Tahoma" w:hAnsi="Tahoma" w:cs="Tahoma"/>
          <w:sz w:val="22"/>
          <w:szCs w:val="22"/>
          <w:lang w:val="es-PE"/>
        </w:rPr>
      </w:pPr>
      <w:r w:rsidRPr="00AF0F6E">
        <w:rPr>
          <w:rFonts w:ascii="Tahoma" w:hAnsi="Tahoma" w:cs="Tahoma"/>
          <w:sz w:val="22"/>
          <w:szCs w:val="22"/>
          <w:lang w:val="es-PE"/>
        </w:rPr>
        <w:t xml:space="preserve">Por otra parte, agregó que dada la coyuntura del mes de mayo del 2008, el postor que quedó en segundo lugar de prelación del proceso de selección del cual se derivaron los hechos materia de denuncia, señaló en el cargo de notificación para la suscripción del contrato que “NO SE PUDO ENTREGAR </w:t>
      </w:r>
      <w:r w:rsidRPr="00AF0F6E">
        <w:rPr>
          <w:rFonts w:ascii="Tahoma" w:hAnsi="Tahoma" w:cs="Tahoma"/>
          <w:sz w:val="22"/>
          <w:szCs w:val="22"/>
          <w:lang w:val="es-PE"/>
        </w:rPr>
        <w:lastRenderedPageBreak/>
        <w:t>EL FIERRO POR EL ALZA DE PRECIOS, quedándose desierto no sólo dicho proceso, sino también, la Adjudicación de Menor Cuantía Nº 142-2008-CEP-MPLC.</w:t>
      </w:r>
    </w:p>
    <w:p w:rsidR="00AF0F6E" w:rsidRPr="00AF0F6E" w:rsidRDefault="00AF0F6E" w:rsidP="00AF0F6E">
      <w:pPr>
        <w:ind w:left="540"/>
        <w:jc w:val="both"/>
        <w:rPr>
          <w:rFonts w:ascii="Tahoma" w:hAnsi="Tahoma" w:cs="Tahoma"/>
          <w:sz w:val="22"/>
          <w:szCs w:val="22"/>
          <w:lang w:val="es-PE"/>
        </w:rPr>
      </w:pPr>
    </w:p>
    <w:p w:rsidR="00AF0F6E" w:rsidRPr="00AF0F6E" w:rsidRDefault="00AF0F6E" w:rsidP="00AF0F6E">
      <w:pPr>
        <w:pStyle w:val="Prrafodelista"/>
        <w:rPr>
          <w:rFonts w:ascii="Tahoma" w:hAnsi="Tahoma" w:cs="Tahoma"/>
          <w:sz w:val="22"/>
          <w:szCs w:val="22"/>
          <w:lang w:val="es-PE"/>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A través del decreto de fecha 13 de abril del 2010, se requirió información adicional a la Entidad, bajo el siguiente detalle:</w:t>
      </w:r>
    </w:p>
    <w:p w:rsidR="00AF0F6E" w:rsidRDefault="00AF0F6E" w:rsidP="00AF0F6E">
      <w:pPr>
        <w:ind w:left="540"/>
        <w:jc w:val="both"/>
        <w:rPr>
          <w:rFonts w:ascii="Tahoma" w:hAnsi="Tahoma" w:cs="Tahoma"/>
          <w:lang w:val="es-PE"/>
        </w:rPr>
      </w:pPr>
    </w:p>
    <w:p w:rsidR="00AF0F6E" w:rsidRPr="008F0938" w:rsidRDefault="00AF0F6E" w:rsidP="00AF0F6E">
      <w:pPr>
        <w:pStyle w:val="Prrafodelista"/>
        <w:widowControl/>
        <w:numPr>
          <w:ilvl w:val="0"/>
          <w:numId w:val="9"/>
        </w:numPr>
        <w:suppressAutoHyphens w:val="0"/>
        <w:ind w:left="1134" w:right="424"/>
        <w:jc w:val="both"/>
        <w:rPr>
          <w:rFonts w:ascii="Tahoma" w:hAnsi="Tahoma" w:cs="Tahoma"/>
          <w:i/>
          <w:color w:val="000000" w:themeColor="text1"/>
          <w:sz w:val="20"/>
          <w:lang w:val="es-MX"/>
        </w:rPr>
      </w:pPr>
      <w:r w:rsidRPr="008F0938">
        <w:rPr>
          <w:rFonts w:ascii="Tahoma" w:hAnsi="Tahoma" w:cs="Tahoma"/>
          <w:i/>
          <w:color w:val="000000" w:themeColor="text1"/>
          <w:sz w:val="20"/>
          <w:lang w:val="es-PE"/>
        </w:rPr>
        <w:t xml:space="preserve">Sírvase remitir copia de la Carta de fecha 14 de mayo de 2008, remitida por el señor Jorge Guido Chávez Aragón, donde conste de manera fehaciente la fecha de recepción de ésta por parte de la Municipalidad Distrital de la Convención, mediante la cual el referido señor le comunicó que se retractaba, en calidad de ganador de la buena pro, de la Adjudicación de </w:t>
      </w:r>
      <w:r w:rsidRPr="008F0938">
        <w:rPr>
          <w:rFonts w:ascii="Tahoma" w:hAnsi="Tahoma" w:cs="Tahoma"/>
          <w:i/>
          <w:color w:val="000000" w:themeColor="text1"/>
          <w:sz w:val="20"/>
          <w:lang w:val="es-MX"/>
        </w:rPr>
        <w:t>Menor Cuantía Nº 154-2008-CEP-MPLC, convocada para la “Adquisición de Fierro Corrugado para la obra Mejoramiento de Servicios Educativos de Nivel Inicial 265 Quillabamba”.</w:t>
      </w:r>
    </w:p>
    <w:p w:rsidR="00AF0F6E" w:rsidRPr="008F0938" w:rsidRDefault="00AF0F6E" w:rsidP="00AF0F6E">
      <w:pPr>
        <w:ind w:left="1134" w:right="424"/>
        <w:jc w:val="both"/>
        <w:rPr>
          <w:rFonts w:ascii="Tahoma" w:hAnsi="Tahoma" w:cs="Tahoma"/>
          <w:i/>
          <w:color w:val="000000" w:themeColor="text1"/>
          <w:sz w:val="20"/>
          <w:szCs w:val="20"/>
          <w:lang w:val="es-MX"/>
        </w:rPr>
      </w:pPr>
    </w:p>
    <w:p w:rsidR="00AF0F6E" w:rsidRPr="008F0938" w:rsidRDefault="00AF0F6E" w:rsidP="00AF0F6E">
      <w:pPr>
        <w:pStyle w:val="Prrafodelista"/>
        <w:widowControl/>
        <w:numPr>
          <w:ilvl w:val="0"/>
          <w:numId w:val="9"/>
        </w:numPr>
        <w:suppressAutoHyphens w:val="0"/>
        <w:ind w:left="1134" w:right="424"/>
        <w:jc w:val="both"/>
        <w:rPr>
          <w:rFonts w:ascii="Verdana" w:hAnsi="Verdana"/>
          <w:i/>
          <w:color w:val="000000" w:themeColor="text1"/>
          <w:sz w:val="20"/>
        </w:rPr>
      </w:pPr>
      <w:r w:rsidRPr="008F0938">
        <w:rPr>
          <w:rFonts w:ascii="Tahoma" w:hAnsi="Tahoma" w:cs="Tahoma"/>
          <w:i/>
          <w:color w:val="000000" w:themeColor="text1"/>
          <w:sz w:val="20"/>
          <w:lang w:val="es-MX"/>
        </w:rPr>
        <w:t xml:space="preserve">Sírvase remitir el Acta de Evaluación de propuestas y Otorgamiento de la Buena pro de la </w:t>
      </w:r>
      <w:r w:rsidRPr="008F0938">
        <w:rPr>
          <w:rFonts w:ascii="Tahoma" w:hAnsi="Tahoma" w:cs="Tahoma"/>
          <w:i/>
          <w:color w:val="000000" w:themeColor="text1"/>
          <w:sz w:val="20"/>
          <w:lang w:val="es-PE"/>
        </w:rPr>
        <w:t xml:space="preserve">Adjudicación de </w:t>
      </w:r>
      <w:r w:rsidRPr="008F0938">
        <w:rPr>
          <w:rFonts w:ascii="Tahoma" w:hAnsi="Tahoma" w:cs="Tahoma"/>
          <w:i/>
          <w:color w:val="000000" w:themeColor="text1"/>
          <w:sz w:val="20"/>
          <w:lang w:val="es-MX"/>
        </w:rPr>
        <w:t xml:space="preserve">Menor Cuantía Nº 154-2008-CEP-MPLC. </w:t>
      </w:r>
    </w:p>
    <w:p w:rsidR="00AF0F6E" w:rsidRDefault="00AF0F6E" w:rsidP="00AF0F6E">
      <w:pPr>
        <w:ind w:left="540"/>
        <w:jc w:val="both"/>
        <w:rPr>
          <w:rFonts w:ascii="Tahoma" w:hAnsi="Tahoma" w:cs="Tahoma"/>
        </w:rPr>
      </w:pPr>
    </w:p>
    <w:p w:rsidR="00AF0F6E" w:rsidRPr="00AF0F6E" w:rsidRDefault="00AF0F6E" w:rsidP="00AF0F6E">
      <w:pPr>
        <w:numPr>
          <w:ilvl w:val="0"/>
          <w:numId w:val="6"/>
        </w:numPr>
        <w:tabs>
          <w:tab w:val="clear" w:pos="454"/>
          <w:tab w:val="num" w:pos="540"/>
        </w:tabs>
        <w:ind w:left="540" w:hanging="540"/>
        <w:jc w:val="both"/>
        <w:rPr>
          <w:rFonts w:ascii="Tahoma" w:hAnsi="Tahoma" w:cs="Tahoma"/>
          <w:sz w:val="22"/>
          <w:szCs w:val="22"/>
          <w:lang w:val="es-PE"/>
        </w:rPr>
      </w:pPr>
      <w:r w:rsidRPr="00AF0F6E">
        <w:rPr>
          <w:rFonts w:ascii="Tahoma" w:hAnsi="Tahoma" w:cs="Tahoma"/>
          <w:sz w:val="22"/>
          <w:szCs w:val="22"/>
          <w:lang w:val="es-PE"/>
        </w:rPr>
        <w:t>Con Informe Nº 486-UA-MPLC-2010 presentado el 04 de junio del 2010, la Entidad informó que no existe documento que acredite la fecha de recepción, por parte de la Unidad de Abastecimiento, de la carta de fecha 14 de mayo del 2008 enviada por el Postor. Asimismo, remitió el Acta de evaluación de propuestas y otorgamiento de la Buena Pro de la Adjudicación de Menor Cuantía Nº 154-2008-CEP-MPLC.</w:t>
      </w:r>
    </w:p>
    <w:p w:rsidR="00AF0F6E" w:rsidRPr="00AF0F6E" w:rsidRDefault="00AF0F6E" w:rsidP="00AF0F6E">
      <w:pPr>
        <w:rPr>
          <w:rFonts w:ascii="Tahoma" w:hAnsi="Tahoma" w:cs="Tahoma"/>
          <w:b/>
          <w:sz w:val="22"/>
          <w:szCs w:val="22"/>
          <w:lang w:val="es-PE"/>
        </w:rPr>
      </w:pPr>
    </w:p>
    <w:p w:rsidR="00AF0F6E" w:rsidRPr="00AF0F6E" w:rsidRDefault="00AF0F6E" w:rsidP="00AF0F6E">
      <w:pPr>
        <w:pStyle w:val="Prrafodelista"/>
        <w:numPr>
          <w:ilvl w:val="0"/>
          <w:numId w:val="1"/>
        </w:numPr>
        <w:ind w:left="567" w:hanging="283"/>
        <w:rPr>
          <w:rFonts w:ascii="Tahoma" w:hAnsi="Tahoma" w:cs="Tahoma"/>
          <w:b/>
          <w:sz w:val="22"/>
          <w:szCs w:val="22"/>
        </w:rPr>
      </w:pPr>
      <w:r w:rsidRPr="00AF0F6E">
        <w:rPr>
          <w:rFonts w:ascii="Tahoma" w:hAnsi="Tahoma" w:cs="Tahoma"/>
          <w:b/>
          <w:sz w:val="22"/>
          <w:szCs w:val="22"/>
        </w:rPr>
        <w:t>FUNDAMENTACIÓN</w:t>
      </w:r>
    </w:p>
    <w:p w:rsidR="00AF0F6E" w:rsidRPr="00AF0F6E" w:rsidRDefault="00AF0F6E" w:rsidP="00AF0F6E">
      <w:pPr>
        <w:ind w:left="426"/>
        <w:jc w:val="both"/>
        <w:rPr>
          <w:rFonts w:ascii="Tahoma" w:hAnsi="Tahoma" w:cs="Tahoma"/>
          <w:sz w:val="22"/>
          <w:szCs w:val="22"/>
          <w:lang w:eastAsia="es-PE"/>
        </w:rPr>
      </w:pPr>
    </w:p>
    <w:p w:rsidR="00AF0F6E" w:rsidRPr="00AF0F6E" w:rsidRDefault="00AF0F6E" w:rsidP="00AF0F6E">
      <w:pPr>
        <w:pStyle w:val="Textoindependiente"/>
        <w:numPr>
          <w:ilvl w:val="0"/>
          <w:numId w:val="10"/>
        </w:numPr>
        <w:jc w:val="both"/>
        <w:rPr>
          <w:rFonts w:ascii="Tahoma" w:hAnsi="Tahoma" w:cs="Tahoma"/>
          <w:sz w:val="22"/>
          <w:szCs w:val="22"/>
          <w:lang w:val="es-PE"/>
        </w:rPr>
      </w:pPr>
      <w:r w:rsidRPr="00AF0F6E">
        <w:rPr>
          <w:rFonts w:ascii="Tahoma" w:hAnsi="Tahoma" w:cs="Tahoma"/>
          <w:sz w:val="22"/>
          <w:szCs w:val="22"/>
          <w:lang w:val="es-PE"/>
        </w:rPr>
        <w:t>En el caso que nos ocupa, se imputa al Postor responsabilidad al no haber mantenido su oferta vigente hasta la suscripción del contrato y no suscribir injustificadamente el contrato, correspondiente a la Adjudicación de Menor Cuantía Nº 154-2008-CEP-MPLC (Primera Convocatoria), a pesar de haber resultado adjudicado con la buena pro de dicho proceso; infracción prevista en el numeral 1) del artículo 294 del Reglamento de la Ley de Contrataciones y Adquisiciones del Estado aprobado por Decreto Supremo Nº 084-2004-PCM en adelante El Reglamento, norma aplicable al momento de suscitarse los hechos materia de denuncia</w:t>
      </w:r>
      <w:r w:rsidRPr="00AF0F6E">
        <w:rPr>
          <w:rStyle w:val="Refdenotaalpie"/>
          <w:rFonts w:ascii="Tahoma" w:hAnsi="Tahoma" w:cs="Tahoma"/>
          <w:sz w:val="22"/>
          <w:szCs w:val="22"/>
          <w:lang w:val="es-PE"/>
        </w:rPr>
        <w:footnoteReference w:id="2"/>
      </w:r>
      <w:r w:rsidRPr="00AF0F6E">
        <w:rPr>
          <w:rFonts w:ascii="Tahoma" w:hAnsi="Tahoma" w:cs="Tahoma"/>
          <w:sz w:val="22"/>
          <w:szCs w:val="22"/>
          <w:lang w:val="es-PE"/>
        </w:rPr>
        <w:t xml:space="preserve">. </w:t>
      </w:r>
    </w:p>
    <w:p w:rsidR="00AF0F6E" w:rsidRPr="00AF0F6E" w:rsidRDefault="00AF0F6E" w:rsidP="00AF0F6E">
      <w:pPr>
        <w:pStyle w:val="Textoindependiente"/>
        <w:spacing w:after="0"/>
        <w:ind w:left="567"/>
        <w:jc w:val="both"/>
        <w:rPr>
          <w:rFonts w:ascii="Tahoma" w:hAnsi="Tahoma" w:cs="Tahoma"/>
          <w:sz w:val="22"/>
          <w:szCs w:val="22"/>
          <w:lang w:val="es-PE"/>
        </w:rPr>
      </w:pPr>
    </w:p>
    <w:p w:rsidR="00AF0F6E" w:rsidRPr="00AF0F6E" w:rsidRDefault="00AF0F6E" w:rsidP="00AF0F6E">
      <w:pPr>
        <w:pStyle w:val="Prrafodelista"/>
        <w:widowControl/>
        <w:numPr>
          <w:ilvl w:val="0"/>
          <w:numId w:val="11"/>
        </w:numPr>
        <w:tabs>
          <w:tab w:val="clear" w:pos="360"/>
          <w:tab w:val="num" w:pos="567"/>
        </w:tabs>
        <w:suppressAutoHyphens w:val="0"/>
        <w:ind w:left="567" w:hanging="567"/>
        <w:contextualSpacing/>
        <w:jc w:val="both"/>
        <w:rPr>
          <w:rFonts w:ascii="Tahoma" w:hAnsi="Tahoma" w:cs="Tahoma"/>
          <w:sz w:val="22"/>
          <w:szCs w:val="22"/>
        </w:rPr>
      </w:pPr>
      <w:r w:rsidRPr="00AF0F6E">
        <w:rPr>
          <w:rFonts w:ascii="Tahoma" w:hAnsi="Tahoma" w:cs="Tahoma"/>
          <w:sz w:val="22"/>
          <w:szCs w:val="22"/>
        </w:rPr>
        <w:lastRenderedPageBreak/>
        <w:t xml:space="preserve">Ahora bien, respecto a lo señalado anteriormente, es necesario indicar que en </w:t>
      </w:r>
      <w:r w:rsidRPr="00AF0F6E">
        <w:rPr>
          <w:rFonts w:ascii="Tahoma" w:hAnsi="Tahoma" w:cs="Tahoma"/>
          <w:sz w:val="22"/>
          <w:szCs w:val="22"/>
          <w:lang w:val="es-PE"/>
        </w:rPr>
        <w:t xml:space="preserve">el numeral 1) del artículo 294 del Reglamento </w:t>
      </w:r>
      <w:r w:rsidRPr="00AF0F6E">
        <w:rPr>
          <w:rFonts w:ascii="Tahoma" w:hAnsi="Tahoma" w:cs="Tahoma"/>
          <w:sz w:val="22"/>
          <w:szCs w:val="22"/>
        </w:rPr>
        <w:t>se han contemplado diferentes infracciones pasibles de sanción administrativa, de las cuales, resulta de aplicación al caso de autos, en atención a los hechos denunciados por la Entidad y la documentación obrante en el expediente administrativo, aquella que se encuentra referida al retiro de la oferta antes de la suscripción del contrato, por existir una manifestación de voluntad del postor ganador mediante la cual retira su ofrecimiento hecho con motivo de la presentación de su propuesta en el correspondiente proceso de selección.</w:t>
      </w:r>
    </w:p>
    <w:p w:rsidR="00AF0F6E" w:rsidRPr="00AF0F6E" w:rsidRDefault="00AF0F6E" w:rsidP="00AF0F6E">
      <w:pPr>
        <w:pStyle w:val="Prrafodelista"/>
        <w:ind w:left="567"/>
        <w:contextualSpacing/>
        <w:jc w:val="both"/>
        <w:rPr>
          <w:rFonts w:ascii="Tahoma" w:hAnsi="Tahoma" w:cs="Tahoma"/>
          <w:sz w:val="22"/>
          <w:szCs w:val="22"/>
        </w:rPr>
      </w:pPr>
    </w:p>
    <w:p w:rsidR="00AF0F6E" w:rsidRPr="00AF0F6E" w:rsidRDefault="00AF0F6E" w:rsidP="00AF0F6E">
      <w:pPr>
        <w:pStyle w:val="Prrafodelista"/>
        <w:widowControl/>
        <w:numPr>
          <w:ilvl w:val="0"/>
          <w:numId w:val="11"/>
        </w:numPr>
        <w:tabs>
          <w:tab w:val="clear" w:pos="360"/>
          <w:tab w:val="num" w:pos="567"/>
        </w:tabs>
        <w:suppressAutoHyphens w:val="0"/>
        <w:ind w:left="567" w:hanging="567"/>
        <w:contextualSpacing/>
        <w:jc w:val="both"/>
        <w:rPr>
          <w:rFonts w:ascii="Tahoma" w:hAnsi="Tahoma" w:cs="Tahoma"/>
          <w:sz w:val="22"/>
          <w:szCs w:val="22"/>
        </w:rPr>
      </w:pPr>
      <w:r w:rsidRPr="00AF0F6E">
        <w:rPr>
          <w:rFonts w:ascii="Tahoma" w:hAnsi="Tahoma" w:cs="Tahoma"/>
          <w:sz w:val="22"/>
          <w:szCs w:val="22"/>
        </w:rPr>
        <w:t xml:space="preserve">En ese sentido, y en lo referido a la imputación efectuada contra el Postor, consideramos importante traer a colación lo establecido por </w:t>
      </w:r>
      <w:r w:rsidRPr="00AF0F6E">
        <w:rPr>
          <w:rFonts w:ascii="Tahoma" w:hAnsi="Tahoma" w:cs="Tahoma"/>
          <w:sz w:val="22"/>
          <w:szCs w:val="22"/>
          <w:lang w:val="es-PE"/>
        </w:rPr>
        <w:t>e</w:t>
      </w:r>
      <w:r w:rsidRPr="00AF0F6E">
        <w:rPr>
          <w:rFonts w:ascii="Tahoma" w:hAnsi="Tahoma" w:cs="Tahoma"/>
          <w:sz w:val="22"/>
          <w:szCs w:val="22"/>
        </w:rPr>
        <w:t>l literal d) del artículo 76</w:t>
      </w:r>
      <w:r w:rsidRPr="00AF0F6E">
        <w:rPr>
          <w:rStyle w:val="Refdenotaalpie"/>
          <w:rFonts w:ascii="Tahoma" w:hAnsi="Tahoma" w:cs="Tahoma"/>
          <w:sz w:val="22"/>
          <w:szCs w:val="22"/>
        </w:rPr>
        <w:footnoteReference w:id="3"/>
      </w:r>
      <w:r w:rsidRPr="00AF0F6E">
        <w:rPr>
          <w:rFonts w:ascii="Tahoma" w:hAnsi="Tahoma" w:cs="Tahoma"/>
          <w:sz w:val="22"/>
          <w:szCs w:val="22"/>
        </w:rPr>
        <w:t xml:space="preserve"> del Reglamento, por el que con la presentación de su propuesta todo Postor se compromete a mantener su oferta durante el proceso de selección y a suscribir el contrato en caso de resultar favorecido con la buena pro; lo cual implica que al realizar dicho acto el Postor debe actuar con seriedad y responsabilidad, toda vez que el artículo antes referido lo obliga a mantener vigente la oferta que propone hasta el acto de otorgamiento de la buena pro, y </w:t>
      </w:r>
      <w:r w:rsidRPr="00AF0F6E">
        <w:rPr>
          <w:rFonts w:ascii="Tahoma" w:hAnsi="Tahoma" w:cs="Tahoma"/>
          <w:b/>
          <w:i/>
          <w:sz w:val="22"/>
          <w:szCs w:val="22"/>
        </w:rPr>
        <w:t>de resultar ganador</w:t>
      </w:r>
      <w:r w:rsidRPr="00AF0F6E">
        <w:rPr>
          <w:rFonts w:ascii="Tahoma" w:hAnsi="Tahoma" w:cs="Tahoma"/>
          <w:sz w:val="22"/>
          <w:szCs w:val="22"/>
        </w:rPr>
        <w:t xml:space="preserve"> </w:t>
      </w:r>
      <w:r w:rsidRPr="00AF0F6E">
        <w:rPr>
          <w:rFonts w:ascii="Tahoma" w:hAnsi="Tahoma" w:cs="Tahoma"/>
          <w:b/>
          <w:i/>
          <w:sz w:val="22"/>
          <w:szCs w:val="22"/>
        </w:rPr>
        <w:t>hasta la suscripción del contrato</w:t>
      </w:r>
      <w:r w:rsidRPr="00AF0F6E">
        <w:rPr>
          <w:rFonts w:ascii="Tahoma" w:hAnsi="Tahoma" w:cs="Tahoma"/>
          <w:sz w:val="22"/>
          <w:szCs w:val="22"/>
        </w:rPr>
        <w:t>, debiendo mantener los términos que haya descrito en ésta.</w:t>
      </w:r>
    </w:p>
    <w:p w:rsidR="00AF0F6E" w:rsidRPr="00AF0F6E" w:rsidRDefault="00AF0F6E" w:rsidP="00AF0F6E">
      <w:pPr>
        <w:pStyle w:val="Prrafodelista"/>
        <w:rPr>
          <w:rFonts w:ascii="Tahoma" w:hAnsi="Tahoma" w:cs="Tahoma"/>
          <w:sz w:val="22"/>
          <w:szCs w:val="22"/>
        </w:rPr>
      </w:pPr>
    </w:p>
    <w:p w:rsidR="00AF0F6E" w:rsidRPr="00AF0F6E" w:rsidRDefault="00AF0F6E" w:rsidP="00AF0F6E">
      <w:pPr>
        <w:pStyle w:val="Prrafodelista"/>
        <w:widowControl/>
        <w:numPr>
          <w:ilvl w:val="0"/>
          <w:numId w:val="11"/>
        </w:numPr>
        <w:tabs>
          <w:tab w:val="clear" w:pos="360"/>
          <w:tab w:val="num" w:pos="567"/>
        </w:tabs>
        <w:suppressAutoHyphens w:val="0"/>
        <w:ind w:left="567" w:hanging="567"/>
        <w:contextualSpacing/>
        <w:jc w:val="both"/>
        <w:rPr>
          <w:rFonts w:ascii="Tahoma" w:hAnsi="Tahoma" w:cs="Tahoma"/>
          <w:sz w:val="22"/>
          <w:szCs w:val="22"/>
        </w:rPr>
      </w:pPr>
      <w:r w:rsidRPr="00AF0F6E">
        <w:rPr>
          <w:rFonts w:ascii="Tahoma" w:hAnsi="Tahoma" w:cs="Tahoma"/>
          <w:sz w:val="22"/>
          <w:szCs w:val="22"/>
        </w:rPr>
        <w:t>Sobre el particular, obra en autos la Carta del 14 de mayo de 2008</w:t>
      </w:r>
      <w:r w:rsidRPr="00AF0F6E">
        <w:rPr>
          <w:rStyle w:val="Refdenotaalpie"/>
          <w:rFonts w:ascii="Tahoma" w:hAnsi="Tahoma" w:cs="Tahoma"/>
          <w:sz w:val="22"/>
          <w:szCs w:val="22"/>
        </w:rPr>
        <w:footnoteReference w:id="4"/>
      </w:r>
      <w:r w:rsidRPr="00AF0F6E">
        <w:rPr>
          <w:rFonts w:ascii="Tahoma" w:hAnsi="Tahoma" w:cs="Tahoma"/>
          <w:sz w:val="22"/>
          <w:szCs w:val="22"/>
        </w:rPr>
        <w:t>, mediante la cual el Postor manifestó a la Entidad textualmente lo siguiente:</w:t>
      </w:r>
    </w:p>
    <w:p w:rsidR="00AF0F6E" w:rsidRPr="00AF0F6E" w:rsidRDefault="00AF0F6E" w:rsidP="00AF0F6E">
      <w:pPr>
        <w:rPr>
          <w:rFonts w:ascii="Tahoma" w:hAnsi="Tahoma" w:cs="Tahoma"/>
          <w:sz w:val="22"/>
          <w:szCs w:val="22"/>
        </w:rPr>
      </w:pPr>
    </w:p>
    <w:p w:rsidR="00AF0F6E" w:rsidRPr="002703AC" w:rsidRDefault="00AF0F6E" w:rsidP="00AF0F6E">
      <w:pPr>
        <w:ind w:left="1416"/>
        <w:jc w:val="both"/>
        <w:rPr>
          <w:rFonts w:ascii="Tahoma" w:hAnsi="Tahoma" w:cs="Tahoma"/>
          <w:i/>
          <w:sz w:val="18"/>
          <w:szCs w:val="18"/>
        </w:rPr>
      </w:pPr>
      <w:r w:rsidRPr="002703AC">
        <w:rPr>
          <w:rFonts w:ascii="Tahoma" w:hAnsi="Tahoma" w:cs="Tahoma"/>
          <w:i/>
          <w:sz w:val="18"/>
          <w:szCs w:val="18"/>
        </w:rPr>
        <w:t>“(…)</w:t>
      </w:r>
    </w:p>
    <w:p w:rsidR="00AF0F6E" w:rsidRPr="002703AC" w:rsidRDefault="00AF0F6E" w:rsidP="00AF0F6E">
      <w:pPr>
        <w:ind w:left="1416"/>
        <w:jc w:val="both"/>
        <w:rPr>
          <w:rFonts w:ascii="Tahoma" w:hAnsi="Tahoma" w:cs="Tahoma"/>
          <w:i/>
          <w:sz w:val="18"/>
          <w:szCs w:val="18"/>
        </w:rPr>
      </w:pPr>
      <w:r w:rsidRPr="002703AC">
        <w:rPr>
          <w:rFonts w:ascii="Tahoma" w:hAnsi="Tahoma" w:cs="Tahoma"/>
          <w:i/>
          <w:sz w:val="18"/>
          <w:szCs w:val="18"/>
        </w:rPr>
        <w:t xml:space="preserve">Por medio de la presente nos dirigimos a Ud con la finalidad de hacerle de su conocimiento que nosotros hemos sido favorecidos con la buena pro de la AMC Nro 154 de fecha 12 de Mayo, pero es el caso que los Fierros de Aceros Arequipa han subido en cantidad del 16%, teniendo en consideración que nuestra Propuesta Económica fue inferior al precio referencial según las bases, motivo por el cual solicitamos retractarnos o de lo contrario se nos considere el PRECIO REFERENCIAL ofertado por la MPLC” </w:t>
      </w:r>
      <w:r w:rsidRPr="002703AC">
        <w:rPr>
          <w:rFonts w:ascii="Tahoma" w:hAnsi="Tahoma" w:cs="Tahoma"/>
          <w:sz w:val="18"/>
          <w:szCs w:val="18"/>
        </w:rPr>
        <w:t>(SIC)</w:t>
      </w:r>
    </w:p>
    <w:p w:rsidR="00AF0F6E" w:rsidRDefault="00AF0F6E" w:rsidP="00AF0F6E">
      <w:pPr>
        <w:ind w:left="1416"/>
        <w:jc w:val="both"/>
        <w:rPr>
          <w:rFonts w:ascii="Tahoma" w:hAnsi="Tahoma" w:cs="Tahoma"/>
          <w:i/>
          <w:sz w:val="22"/>
          <w:szCs w:val="22"/>
        </w:rPr>
      </w:pPr>
    </w:p>
    <w:p w:rsidR="00AF0F6E" w:rsidRPr="00AF0F6E" w:rsidRDefault="00AF0F6E" w:rsidP="00AF0F6E">
      <w:pPr>
        <w:pStyle w:val="Prrafodelista"/>
        <w:widowControl/>
        <w:numPr>
          <w:ilvl w:val="0"/>
          <w:numId w:val="11"/>
        </w:numPr>
        <w:tabs>
          <w:tab w:val="clear" w:pos="360"/>
          <w:tab w:val="num" w:pos="567"/>
        </w:tabs>
        <w:suppressAutoHyphens w:val="0"/>
        <w:ind w:left="567" w:hanging="567"/>
        <w:contextualSpacing/>
        <w:jc w:val="both"/>
        <w:rPr>
          <w:rFonts w:ascii="Tahoma" w:hAnsi="Tahoma" w:cs="Tahoma"/>
          <w:sz w:val="22"/>
          <w:szCs w:val="22"/>
        </w:rPr>
      </w:pPr>
      <w:r w:rsidRPr="00AF0F6E">
        <w:rPr>
          <w:rFonts w:ascii="Tahoma" w:hAnsi="Tahoma" w:cs="Tahoma"/>
          <w:sz w:val="22"/>
          <w:szCs w:val="22"/>
        </w:rPr>
        <w:t>Es evidente, por tanto, que el Postor retiró su oferta antes de la firma del contrato, incluso antes de la remisión por parte de La Entidad de la carta de citación, aduciendo para ello razones ajenas a su voluntad, vinculadas al alza de los precios de los bienes materia del proceso de selección.</w:t>
      </w:r>
    </w:p>
    <w:p w:rsidR="00AF0F6E" w:rsidRPr="00AF0F6E" w:rsidRDefault="00AF0F6E" w:rsidP="00AF0F6E">
      <w:pPr>
        <w:pStyle w:val="Prrafodelista"/>
        <w:ind w:left="567"/>
        <w:contextualSpacing/>
        <w:jc w:val="both"/>
        <w:rPr>
          <w:rFonts w:ascii="Tahoma" w:hAnsi="Tahoma" w:cs="Tahoma"/>
          <w:sz w:val="22"/>
          <w:szCs w:val="22"/>
        </w:rPr>
      </w:pPr>
    </w:p>
    <w:p w:rsidR="00AF0F6E" w:rsidRPr="00AF0F6E" w:rsidRDefault="00AF0F6E" w:rsidP="00AF0F6E">
      <w:pPr>
        <w:pStyle w:val="Prrafodelista"/>
        <w:widowControl/>
        <w:numPr>
          <w:ilvl w:val="0"/>
          <w:numId w:val="11"/>
        </w:numPr>
        <w:tabs>
          <w:tab w:val="clear" w:pos="360"/>
        </w:tabs>
        <w:suppressAutoHyphens w:val="0"/>
        <w:ind w:left="567" w:hanging="567"/>
        <w:contextualSpacing/>
        <w:jc w:val="both"/>
        <w:rPr>
          <w:rFonts w:ascii="Tahoma" w:hAnsi="Tahoma" w:cs="Tahoma"/>
          <w:sz w:val="22"/>
          <w:szCs w:val="22"/>
        </w:rPr>
      </w:pPr>
      <w:r w:rsidRPr="00AF0F6E">
        <w:rPr>
          <w:rFonts w:ascii="Tahoma" w:hAnsi="Tahoma" w:cs="Tahoma"/>
          <w:sz w:val="22"/>
          <w:szCs w:val="22"/>
        </w:rPr>
        <w:lastRenderedPageBreak/>
        <w:t xml:space="preserve">En virtud de lo expuesto, el tema central del presente caso consiste en determinar si con la razón alegada por el Postor se le puede eximir de responsabilidad por no mantener su oferta vigente. </w:t>
      </w:r>
    </w:p>
    <w:p w:rsidR="00AF0F6E" w:rsidRPr="00AF0F6E" w:rsidRDefault="00AF0F6E" w:rsidP="00AF0F6E">
      <w:pPr>
        <w:pStyle w:val="Prrafodelista"/>
        <w:rPr>
          <w:rFonts w:ascii="Tahoma" w:hAnsi="Tahoma" w:cs="Tahoma"/>
          <w:sz w:val="22"/>
          <w:szCs w:val="22"/>
        </w:rPr>
      </w:pPr>
    </w:p>
    <w:p w:rsidR="00AF0F6E" w:rsidRPr="00AF0F6E" w:rsidRDefault="00AF0F6E" w:rsidP="00AF0F6E">
      <w:pPr>
        <w:pStyle w:val="Prrafodelista"/>
        <w:widowControl/>
        <w:numPr>
          <w:ilvl w:val="0"/>
          <w:numId w:val="11"/>
        </w:numPr>
        <w:tabs>
          <w:tab w:val="clear" w:pos="360"/>
        </w:tabs>
        <w:suppressAutoHyphens w:val="0"/>
        <w:ind w:left="567" w:hanging="567"/>
        <w:contextualSpacing/>
        <w:jc w:val="both"/>
        <w:rPr>
          <w:rFonts w:ascii="Tahoma" w:hAnsi="Tahoma" w:cs="Tahoma"/>
          <w:sz w:val="22"/>
          <w:szCs w:val="22"/>
        </w:rPr>
      </w:pPr>
      <w:r w:rsidRPr="00AF0F6E">
        <w:rPr>
          <w:rFonts w:ascii="Tahoma" w:hAnsi="Tahoma" w:cs="Tahoma"/>
          <w:sz w:val="22"/>
          <w:szCs w:val="22"/>
        </w:rPr>
        <w:t>Al respecto, el Postor presentó en su escrito de descargos, el PRECIO PROMEDIO MENSUAL DE LOS PRINCIPALES DE MATERIALES DE CONSTRUCCIÓN, emitido por el Instituto Nacional de Estadísticas e Informática de la Oficina Departamental del Cusco, en el cual se advierte que en el mes de abril del 2008, fecha en la cual, según las Bases, ha sido calculado el valor referencial del proceso de selección del cual derivaron los hechos materia de denuncia, a mayo del 2008, fecha en la cual se convocó y otorgó la Buena Pro, el precio de los bienes objeto de convocatoria se incrementaron bajo el siguiente detalle:</w:t>
      </w:r>
    </w:p>
    <w:p w:rsidR="00AF0F6E" w:rsidRDefault="00AF0F6E" w:rsidP="00AF0F6E">
      <w:pPr>
        <w:pStyle w:val="Prrafodelista"/>
        <w:ind w:left="709"/>
        <w:contextualSpacing/>
        <w:jc w:val="both"/>
        <w:rPr>
          <w:rFonts w:ascii="Tahoma" w:hAnsi="Tahoma" w:cs="Tahoma"/>
          <w:sz w:val="22"/>
          <w:szCs w:val="22"/>
        </w:rPr>
      </w:pPr>
    </w:p>
    <w:tbl>
      <w:tblPr>
        <w:tblStyle w:val="Tablaconcuadrcula"/>
        <w:tblW w:w="0" w:type="auto"/>
        <w:tblInd w:w="817" w:type="dxa"/>
        <w:tblLook w:val="04A0"/>
      </w:tblPr>
      <w:tblGrid>
        <w:gridCol w:w="2562"/>
        <w:gridCol w:w="2670"/>
        <w:gridCol w:w="2671"/>
      </w:tblGrid>
      <w:tr w:rsidR="00AF0F6E" w:rsidTr="00D31D7E">
        <w:tc>
          <w:tcPr>
            <w:tcW w:w="2562" w:type="dxa"/>
            <w:shd w:val="clear" w:color="auto" w:fill="7F7F7F" w:themeFill="text1" w:themeFillTint="80"/>
          </w:tcPr>
          <w:p w:rsidR="00AF0F6E" w:rsidRPr="00840215" w:rsidRDefault="00AF0F6E" w:rsidP="00D31D7E">
            <w:pPr>
              <w:pStyle w:val="Prrafodelista"/>
              <w:ind w:left="0"/>
              <w:contextualSpacing/>
              <w:jc w:val="center"/>
              <w:rPr>
                <w:rFonts w:ascii="Tahoma" w:hAnsi="Tahoma" w:cs="Tahoma"/>
                <w:sz w:val="18"/>
                <w:szCs w:val="18"/>
              </w:rPr>
            </w:pPr>
            <w:r w:rsidRPr="00840215">
              <w:rPr>
                <w:rFonts w:ascii="Tahoma" w:hAnsi="Tahoma" w:cs="Tahoma"/>
                <w:sz w:val="18"/>
                <w:szCs w:val="18"/>
              </w:rPr>
              <w:t>PRODUCTOS</w:t>
            </w:r>
          </w:p>
        </w:tc>
        <w:tc>
          <w:tcPr>
            <w:tcW w:w="2670" w:type="dxa"/>
            <w:shd w:val="clear" w:color="auto" w:fill="7F7F7F" w:themeFill="text1" w:themeFillTint="80"/>
          </w:tcPr>
          <w:p w:rsidR="00AF0F6E" w:rsidRPr="00840215" w:rsidRDefault="00AF0F6E" w:rsidP="00D31D7E">
            <w:pPr>
              <w:pStyle w:val="Prrafodelista"/>
              <w:ind w:left="0"/>
              <w:contextualSpacing/>
              <w:jc w:val="center"/>
              <w:rPr>
                <w:rFonts w:ascii="Tahoma" w:hAnsi="Tahoma" w:cs="Tahoma"/>
                <w:sz w:val="18"/>
                <w:szCs w:val="18"/>
              </w:rPr>
            </w:pPr>
            <w:r w:rsidRPr="00840215">
              <w:rPr>
                <w:rFonts w:ascii="Tahoma" w:hAnsi="Tahoma" w:cs="Tahoma"/>
                <w:sz w:val="18"/>
                <w:szCs w:val="18"/>
              </w:rPr>
              <w:t>ABRIL</w:t>
            </w:r>
          </w:p>
        </w:tc>
        <w:tc>
          <w:tcPr>
            <w:tcW w:w="2671" w:type="dxa"/>
            <w:shd w:val="clear" w:color="auto" w:fill="7F7F7F" w:themeFill="text1" w:themeFillTint="80"/>
          </w:tcPr>
          <w:p w:rsidR="00AF0F6E" w:rsidRPr="00840215" w:rsidRDefault="00AF0F6E" w:rsidP="00D31D7E">
            <w:pPr>
              <w:pStyle w:val="Prrafodelista"/>
              <w:ind w:left="0"/>
              <w:contextualSpacing/>
              <w:jc w:val="center"/>
              <w:rPr>
                <w:rFonts w:ascii="Tahoma" w:hAnsi="Tahoma" w:cs="Tahoma"/>
                <w:sz w:val="18"/>
                <w:szCs w:val="18"/>
              </w:rPr>
            </w:pPr>
            <w:r w:rsidRPr="00840215">
              <w:rPr>
                <w:rFonts w:ascii="Tahoma" w:hAnsi="Tahoma" w:cs="Tahoma"/>
                <w:sz w:val="18"/>
                <w:szCs w:val="18"/>
              </w:rPr>
              <w:t>MAYO</w:t>
            </w:r>
          </w:p>
        </w:tc>
      </w:tr>
      <w:tr w:rsidR="00AF0F6E" w:rsidTr="00D31D7E">
        <w:tc>
          <w:tcPr>
            <w:tcW w:w="2562" w:type="dxa"/>
          </w:tcPr>
          <w:p w:rsidR="00AF0F6E" w:rsidRPr="00840215" w:rsidRDefault="00AF0F6E" w:rsidP="00D31D7E">
            <w:pPr>
              <w:pStyle w:val="Prrafodelista"/>
              <w:ind w:left="0"/>
              <w:contextualSpacing/>
              <w:rPr>
                <w:rFonts w:ascii="Tahoma" w:hAnsi="Tahoma" w:cs="Tahoma"/>
                <w:sz w:val="18"/>
                <w:szCs w:val="18"/>
              </w:rPr>
            </w:pPr>
            <w:r w:rsidRPr="00840215">
              <w:rPr>
                <w:rFonts w:ascii="Tahoma" w:hAnsi="Tahoma" w:cs="Tahoma"/>
                <w:sz w:val="18"/>
                <w:szCs w:val="18"/>
              </w:rPr>
              <w:t>Fierro de construcción ½”</w:t>
            </w:r>
          </w:p>
        </w:tc>
        <w:tc>
          <w:tcPr>
            <w:tcW w:w="2670" w:type="dxa"/>
          </w:tcPr>
          <w:p w:rsidR="00AF0F6E" w:rsidRPr="00840215" w:rsidRDefault="00AF0F6E" w:rsidP="00D31D7E">
            <w:pPr>
              <w:pStyle w:val="Prrafodelista"/>
              <w:ind w:left="0"/>
              <w:contextualSpacing/>
              <w:jc w:val="center"/>
              <w:rPr>
                <w:rFonts w:ascii="Tahoma" w:hAnsi="Tahoma" w:cs="Tahoma"/>
                <w:sz w:val="18"/>
                <w:szCs w:val="18"/>
              </w:rPr>
            </w:pPr>
            <w:r w:rsidRPr="00840215">
              <w:rPr>
                <w:rFonts w:ascii="Tahoma" w:hAnsi="Tahoma" w:cs="Tahoma"/>
                <w:sz w:val="18"/>
                <w:szCs w:val="18"/>
              </w:rPr>
              <w:t>30,26</w:t>
            </w:r>
          </w:p>
        </w:tc>
        <w:tc>
          <w:tcPr>
            <w:tcW w:w="2671" w:type="dxa"/>
          </w:tcPr>
          <w:p w:rsidR="00AF0F6E" w:rsidRPr="00840215" w:rsidRDefault="00AF0F6E" w:rsidP="00D31D7E">
            <w:pPr>
              <w:pStyle w:val="Prrafodelista"/>
              <w:ind w:left="0"/>
              <w:contextualSpacing/>
              <w:jc w:val="center"/>
              <w:rPr>
                <w:rFonts w:ascii="Tahoma" w:hAnsi="Tahoma" w:cs="Tahoma"/>
                <w:sz w:val="18"/>
                <w:szCs w:val="18"/>
              </w:rPr>
            </w:pPr>
            <w:r w:rsidRPr="00840215">
              <w:rPr>
                <w:rFonts w:ascii="Tahoma" w:hAnsi="Tahoma" w:cs="Tahoma"/>
                <w:sz w:val="18"/>
                <w:szCs w:val="18"/>
              </w:rPr>
              <w:t>36.75</w:t>
            </w:r>
          </w:p>
        </w:tc>
      </w:tr>
      <w:tr w:rsidR="00AF0F6E" w:rsidTr="00D31D7E">
        <w:tc>
          <w:tcPr>
            <w:tcW w:w="2562" w:type="dxa"/>
          </w:tcPr>
          <w:p w:rsidR="00AF0F6E" w:rsidRPr="00840215" w:rsidRDefault="00AF0F6E" w:rsidP="00D31D7E">
            <w:pPr>
              <w:pStyle w:val="Prrafodelista"/>
              <w:ind w:left="0"/>
              <w:contextualSpacing/>
              <w:rPr>
                <w:rFonts w:ascii="Tahoma" w:hAnsi="Tahoma" w:cs="Tahoma"/>
                <w:sz w:val="18"/>
                <w:szCs w:val="18"/>
              </w:rPr>
            </w:pPr>
            <w:r w:rsidRPr="00840215">
              <w:rPr>
                <w:rFonts w:ascii="Tahoma" w:hAnsi="Tahoma" w:cs="Tahoma"/>
                <w:sz w:val="18"/>
                <w:szCs w:val="18"/>
              </w:rPr>
              <w:t>Fierro de construcción 3/8”</w:t>
            </w:r>
          </w:p>
        </w:tc>
        <w:tc>
          <w:tcPr>
            <w:tcW w:w="2670" w:type="dxa"/>
          </w:tcPr>
          <w:p w:rsidR="00AF0F6E" w:rsidRPr="00840215" w:rsidRDefault="00AF0F6E" w:rsidP="00D31D7E">
            <w:pPr>
              <w:pStyle w:val="Prrafodelista"/>
              <w:ind w:left="0"/>
              <w:contextualSpacing/>
              <w:jc w:val="center"/>
              <w:rPr>
                <w:rFonts w:ascii="Tahoma" w:hAnsi="Tahoma" w:cs="Tahoma"/>
                <w:sz w:val="18"/>
                <w:szCs w:val="18"/>
              </w:rPr>
            </w:pPr>
            <w:r w:rsidRPr="00840215">
              <w:rPr>
                <w:rFonts w:ascii="Tahoma" w:hAnsi="Tahoma" w:cs="Tahoma"/>
                <w:sz w:val="18"/>
                <w:szCs w:val="18"/>
              </w:rPr>
              <w:t>16,79</w:t>
            </w:r>
          </w:p>
        </w:tc>
        <w:tc>
          <w:tcPr>
            <w:tcW w:w="2671" w:type="dxa"/>
          </w:tcPr>
          <w:p w:rsidR="00AF0F6E" w:rsidRPr="00840215" w:rsidRDefault="00AF0F6E" w:rsidP="00D31D7E">
            <w:pPr>
              <w:pStyle w:val="Prrafodelista"/>
              <w:ind w:left="0"/>
              <w:contextualSpacing/>
              <w:jc w:val="center"/>
              <w:rPr>
                <w:rFonts w:ascii="Tahoma" w:hAnsi="Tahoma" w:cs="Tahoma"/>
                <w:sz w:val="18"/>
                <w:szCs w:val="18"/>
              </w:rPr>
            </w:pPr>
            <w:r w:rsidRPr="00840215">
              <w:rPr>
                <w:rFonts w:ascii="Tahoma" w:hAnsi="Tahoma" w:cs="Tahoma"/>
                <w:sz w:val="18"/>
                <w:szCs w:val="18"/>
              </w:rPr>
              <w:t>20,61</w:t>
            </w:r>
          </w:p>
        </w:tc>
      </w:tr>
      <w:tr w:rsidR="00AF0F6E" w:rsidTr="00D31D7E">
        <w:tc>
          <w:tcPr>
            <w:tcW w:w="2562" w:type="dxa"/>
          </w:tcPr>
          <w:p w:rsidR="00AF0F6E" w:rsidRPr="00840215" w:rsidRDefault="00AF0F6E" w:rsidP="00D31D7E">
            <w:pPr>
              <w:pStyle w:val="Prrafodelista"/>
              <w:ind w:left="0"/>
              <w:contextualSpacing/>
              <w:rPr>
                <w:rFonts w:ascii="Tahoma" w:hAnsi="Tahoma" w:cs="Tahoma"/>
                <w:sz w:val="18"/>
                <w:szCs w:val="18"/>
              </w:rPr>
            </w:pPr>
            <w:r w:rsidRPr="00840215">
              <w:rPr>
                <w:rFonts w:ascii="Tahoma" w:hAnsi="Tahoma" w:cs="Tahoma"/>
                <w:sz w:val="18"/>
                <w:szCs w:val="18"/>
              </w:rPr>
              <w:t>Fierro de construcción 5/8</w:t>
            </w:r>
            <w:r>
              <w:rPr>
                <w:rFonts w:ascii="Tahoma" w:hAnsi="Tahoma" w:cs="Tahoma"/>
                <w:sz w:val="18"/>
                <w:szCs w:val="18"/>
              </w:rPr>
              <w:t>”</w:t>
            </w:r>
          </w:p>
        </w:tc>
        <w:tc>
          <w:tcPr>
            <w:tcW w:w="2670" w:type="dxa"/>
          </w:tcPr>
          <w:p w:rsidR="00AF0F6E" w:rsidRPr="00840215" w:rsidRDefault="00AF0F6E" w:rsidP="00D31D7E">
            <w:pPr>
              <w:pStyle w:val="Prrafodelista"/>
              <w:ind w:left="0"/>
              <w:contextualSpacing/>
              <w:jc w:val="center"/>
              <w:rPr>
                <w:rFonts w:ascii="Tahoma" w:hAnsi="Tahoma" w:cs="Tahoma"/>
                <w:sz w:val="18"/>
                <w:szCs w:val="18"/>
              </w:rPr>
            </w:pPr>
            <w:r w:rsidRPr="00840215">
              <w:rPr>
                <w:rFonts w:ascii="Tahoma" w:hAnsi="Tahoma" w:cs="Tahoma"/>
                <w:sz w:val="18"/>
                <w:szCs w:val="18"/>
              </w:rPr>
              <w:t>46,87</w:t>
            </w:r>
          </w:p>
        </w:tc>
        <w:tc>
          <w:tcPr>
            <w:tcW w:w="2671" w:type="dxa"/>
          </w:tcPr>
          <w:p w:rsidR="00AF0F6E" w:rsidRPr="00840215" w:rsidRDefault="00AF0F6E" w:rsidP="00D31D7E">
            <w:pPr>
              <w:pStyle w:val="Prrafodelista"/>
              <w:ind w:left="0"/>
              <w:contextualSpacing/>
              <w:jc w:val="center"/>
              <w:rPr>
                <w:rFonts w:ascii="Tahoma" w:hAnsi="Tahoma" w:cs="Tahoma"/>
                <w:sz w:val="18"/>
                <w:szCs w:val="18"/>
              </w:rPr>
            </w:pPr>
            <w:r w:rsidRPr="00840215">
              <w:rPr>
                <w:rFonts w:ascii="Tahoma" w:hAnsi="Tahoma" w:cs="Tahoma"/>
                <w:sz w:val="18"/>
                <w:szCs w:val="18"/>
              </w:rPr>
              <w:t>57,52</w:t>
            </w:r>
          </w:p>
        </w:tc>
      </w:tr>
    </w:tbl>
    <w:p w:rsidR="00AF0F6E" w:rsidRDefault="00AF0F6E" w:rsidP="00AF0F6E">
      <w:pPr>
        <w:pStyle w:val="Prrafodelista"/>
        <w:ind w:left="709"/>
        <w:contextualSpacing/>
        <w:jc w:val="both"/>
        <w:rPr>
          <w:rFonts w:ascii="Tahoma" w:hAnsi="Tahoma" w:cs="Tahoma"/>
          <w:sz w:val="22"/>
          <w:szCs w:val="22"/>
        </w:rPr>
      </w:pPr>
    </w:p>
    <w:p w:rsidR="00AF0F6E" w:rsidRPr="002703AC" w:rsidRDefault="00AF0F6E" w:rsidP="00AF0F6E">
      <w:pPr>
        <w:pStyle w:val="Prrafodelista"/>
        <w:widowControl/>
        <w:numPr>
          <w:ilvl w:val="0"/>
          <w:numId w:val="11"/>
        </w:numPr>
        <w:tabs>
          <w:tab w:val="clear" w:pos="360"/>
        </w:tabs>
        <w:suppressAutoHyphens w:val="0"/>
        <w:ind w:left="567" w:hanging="567"/>
        <w:contextualSpacing/>
        <w:jc w:val="both"/>
        <w:rPr>
          <w:rFonts w:ascii="Tahoma" w:hAnsi="Tahoma" w:cs="Tahoma"/>
          <w:sz w:val="22"/>
          <w:szCs w:val="22"/>
        </w:rPr>
      </w:pPr>
      <w:r w:rsidRPr="002703AC">
        <w:rPr>
          <w:rFonts w:ascii="Tahoma" w:hAnsi="Tahoma" w:cs="Tahoma"/>
          <w:sz w:val="22"/>
          <w:szCs w:val="22"/>
        </w:rPr>
        <w:t>En tal sentido, efectivamente, se puede advertir que existió un alza significativa en el precio de los bienes objeto de convocatoria, entre los que se encuentra el Fierro de construcción ½”, Fierro de construcción 3/8”y Fierro de construcción 5/8”, por lo que la información remitida por el INEI, confirma lo manifestado por el postor en su escrito de descargos y en la comunicación remitida</w:t>
      </w:r>
      <w:r>
        <w:rPr>
          <w:rFonts w:ascii="Tahoma" w:hAnsi="Tahoma" w:cs="Tahoma"/>
          <w:sz w:val="22"/>
          <w:szCs w:val="22"/>
        </w:rPr>
        <w:t xml:space="preserve"> a l</w:t>
      </w:r>
      <w:r w:rsidRPr="002703AC">
        <w:rPr>
          <w:rFonts w:ascii="Tahoma" w:hAnsi="Tahoma" w:cs="Tahoma"/>
          <w:sz w:val="22"/>
          <w:szCs w:val="22"/>
        </w:rPr>
        <w:t>a Entidad con fecha 14 de mayo del 2008, a través del cual se desiste de mantener su oferta en el proceso de selección materia del presente procedimiento.</w:t>
      </w:r>
    </w:p>
    <w:p w:rsidR="00AF0F6E" w:rsidRPr="002703AC" w:rsidRDefault="00AF0F6E" w:rsidP="00AF0F6E">
      <w:pPr>
        <w:contextualSpacing/>
        <w:jc w:val="both"/>
        <w:rPr>
          <w:rFonts w:ascii="Tahoma" w:hAnsi="Tahoma" w:cs="Tahoma"/>
          <w:sz w:val="22"/>
          <w:szCs w:val="22"/>
        </w:rPr>
      </w:pPr>
    </w:p>
    <w:p w:rsidR="00AF0F6E" w:rsidRPr="002703AC" w:rsidRDefault="00AF0F6E" w:rsidP="00AF0F6E">
      <w:pPr>
        <w:pStyle w:val="Prrafodelista"/>
        <w:widowControl/>
        <w:numPr>
          <w:ilvl w:val="0"/>
          <w:numId w:val="11"/>
        </w:numPr>
        <w:tabs>
          <w:tab w:val="clear" w:pos="360"/>
        </w:tabs>
        <w:suppressAutoHyphens w:val="0"/>
        <w:ind w:left="567" w:hanging="567"/>
        <w:contextualSpacing/>
        <w:jc w:val="both"/>
        <w:rPr>
          <w:rFonts w:ascii="Tahoma" w:hAnsi="Tahoma" w:cs="Tahoma"/>
          <w:sz w:val="22"/>
          <w:szCs w:val="22"/>
        </w:rPr>
      </w:pPr>
      <w:r w:rsidRPr="002703AC">
        <w:rPr>
          <w:rFonts w:ascii="Tahoma" w:hAnsi="Tahoma" w:cs="Tahoma"/>
          <w:sz w:val="22"/>
          <w:szCs w:val="22"/>
        </w:rPr>
        <w:t>En ese contexto es que, y de acuerdo a la documentación obrante en autos, el Señor Juan Antonio Zegarra Levano, que ocupó el segundo lugar en el orden de prelación, también se desistió de mantener su oferta vigente arguyendo la misma razón que el Postor: el alza de los precios de los bienes materia de adjudicación, hecho ya comprobado y que, como se pude evidenciar, afectó a la generalidad de los proveedores en el mercado nacional.</w:t>
      </w:r>
    </w:p>
    <w:p w:rsidR="00AF0F6E" w:rsidRPr="002703AC" w:rsidRDefault="00AF0F6E" w:rsidP="00AF0F6E">
      <w:pPr>
        <w:pStyle w:val="Prrafodelista"/>
        <w:rPr>
          <w:rFonts w:ascii="Tahoma" w:hAnsi="Tahoma" w:cs="Tahoma"/>
          <w:sz w:val="22"/>
          <w:szCs w:val="22"/>
        </w:rPr>
      </w:pPr>
    </w:p>
    <w:p w:rsidR="00AF0F6E" w:rsidRPr="002703AC" w:rsidRDefault="00AF0F6E" w:rsidP="00AF0F6E">
      <w:pPr>
        <w:pStyle w:val="Prrafodelista"/>
        <w:widowControl/>
        <w:numPr>
          <w:ilvl w:val="0"/>
          <w:numId w:val="11"/>
        </w:numPr>
        <w:tabs>
          <w:tab w:val="clear" w:pos="360"/>
        </w:tabs>
        <w:suppressAutoHyphens w:val="0"/>
        <w:ind w:left="567" w:hanging="567"/>
        <w:contextualSpacing/>
        <w:jc w:val="both"/>
        <w:rPr>
          <w:rFonts w:ascii="Tahoma" w:hAnsi="Tahoma" w:cs="Tahoma"/>
          <w:sz w:val="22"/>
          <w:szCs w:val="22"/>
        </w:rPr>
      </w:pPr>
      <w:r w:rsidRPr="002703AC">
        <w:rPr>
          <w:rFonts w:ascii="Tahoma" w:hAnsi="Tahoma" w:cs="Tahoma"/>
          <w:sz w:val="22"/>
          <w:szCs w:val="22"/>
        </w:rPr>
        <w:t>En efecto, de la revisión de la documentación contenida en el presente expediente, se puede verificar que obra en autos el Informe Nº 363-2008-UA/MPLC</w:t>
      </w:r>
      <w:r w:rsidRPr="002703AC">
        <w:rPr>
          <w:rStyle w:val="Refdenotaalpie"/>
          <w:rFonts w:ascii="Tahoma" w:hAnsi="Tahoma" w:cs="Tahoma"/>
          <w:sz w:val="22"/>
          <w:szCs w:val="22"/>
        </w:rPr>
        <w:footnoteReference w:id="5"/>
      </w:r>
      <w:r w:rsidRPr="002703AC">
        <w:rPr>
          <w:rFonts w:ascii="Tahoma" w:hAnsi="Tahoma" w:cs="Tahoma"/>
          <w:sz w:val="22"/>
          <w:szCs w:val="22"/>
        </w:rPr>
        <w:t xml:space="preserve"> del Jefe de la Unidad de Abastecimiento de la Entidad a través del cual, expresamente manifestó que dicha situación no sólo se generó en el presente proceso de selección sino también en la Adjudicación de Menor Cuantía Nº 142-2008-CEP-MPLC, al señalar lo siguiente:</w:t>
      </w:r>
    </w:p>
    <w:p w:rsidR="00AF0F6E" w:rsidRPr="009A7BEC" w:rsidRDefault="00AF0F6E" w:rsidP="00AF0F6E">
      <w:pPr>
        <w:rPr>
          <w:rFonts w:ascii="Tahoma" w:hAnsi="Tahoma" w:cs="Tahoma"/>
          <w:sz w:val="22"/>
          <w:szCs w:val="22"/>
        </w:rPr>
      </w:pPr>
    </w:p>
    <w:p w:rsidR="00AF0F6E" w:rsidRPr="002703AC" w:rsidRDefault="00AF0F6E" w:rsidP="00AF0F6E">
      <w:pPr>
        <w:pStyle w:val="Prrafodelista"/>
        <w:ind w:left="1418" w:right="566"/>
        <w:contextualSpacing/>
        <w:jc w:val="both"/>
        <w:rPr>
          <w:rFonts w:ascii="Tahoma" w:hAnsi="Tahoma" w:cs="Tahoma"/>
          <w:i/>
          <w:sz w:val="18"/>
          <w:szCs w:val="18"/>
        </w:rPr>
      </w:pPr>
      <w:r w:rsidRPr="002703AC">
        <w:rPr>
          <w:rFonts w:ascii="Tahoma" w:hAnsi="Tahoma" w:cs="Tahoma"/>
          <w:i/>
          <w:sz w:val="18"/>
          <w:szCs w:val="18"/>
        </w:rPr>
        <w:t>“</w:t>
      </w:r>
    </w:p>
    <w:p w:rsidR="00AF0F6E" w:rsidRPr="002703AC" w:rsidRDefault="00AF0F6E" w:rsidP="00AF0F6E">
      <w:pPr>
        <w:pStyle w:val="Prrafodelista"/>
        <w:ind w:left="1418" w:right="566"/>
        <w:contextualSpacing/>
        <w:jc w:val="both"/>
        <w:rPr>
          <w:rFonts w:ascii="Tahoma" w:hAnsi="Tahoma" w:cs="Tahoma"/>
          <w:i/>
          <w:sz w:val="18"/>
          <w:szCs w:val="18"/>
        </w:rPr>
      </w:pPr>
      <w:r w:rsidRPr="002703AC">
        <w:rPr>
          <w:rFonts w:ascii="Tahoma" w:hAnsi="Tahoma" w:cs="Tahoma"/>
          <w:i/>
          <w:sz w:val="18"/>
          <w:szCs w:val="18"/>
        </w:rPr>
        <w:t>(…)</w:t>
      </w:r>
    </w:p>
    <w:p w:rsidR="00AF0F6E" w:rsidRPr="002703AC" w:rsidRDefault="00AF0F6E" w:rsidP="00AF0F6E">
      <w:pPr>
        <w:pStyle w:val="Prrafodelista"/>
        <w:ind w:left="1418" w:right="566"/>
        <w:contextualSpacing/>
        <w:jc w:val="both"/>
        <w:rPr>
          <w:rFonts w:ascii="Tahoma" w:hAnsi="Tahoma" w:cs="Tahoma"/>
          <w:i/>
          <w:sz w:val="18"/>
          <w:szCs w:val="18"/>
        </w:rPr>
      </w:pPr>
      <w:r w:rsidRPr="002703AC">
        <w:rPr>
          <w:rFonts w:ascii="Tahoma" w:hAnsi="Tahoma" w:cs="Tahoma"/>
          <w:i/>
          <w:sz w:val="18"/>
          <w:szCs w:val="18"/>
        </w:rPr>
        <w:t xml:space="preserve">Por medio del presente es grato dirigirme a usted, para informarle hechos sobrevinientes a los Procesos de Selección Nº AMC Nº 142-2008-CEP-MPLC de </w:t>
      </w:r>
      <w:r w:rsidRPr="002703AC">
        <w:rPr>
          <w:rFonts w:ascii="Tahoma" w:hAnsi="Tahoma" w:cs="Tahoma"/>
          <w:i/>
          <w:sz w:val="18"/>
          <w:szCs w:val="18"/>
        </w:rPr>
        <w:lastRenderedPageBreak/>
        <w:t>fecha 29 de abril y AMC Nº 154-2008-CEP-MPLC de fecha 05 de mayo del 2008, los cuales fueron convocados para adquisición de Fierro Corrugado y otros, cabe indicar que una vez consentida la Buena Pro, los proveedores presentan la carta de Desistimiento, solicitando retirarse del proceso manifestando el incremento de precios en estos materiales, al respecto se notificaron a los siguientes postores en el orden de méritos según cuadros comparativos, negándose a atendernos, conforme lo establece el Art. 203 del Reglamento de la Ley de Contrataciones y Adquisiciones del Estado, siendo así se extractó reportes de estas variaciones de precios publicado por el INEI, verificándose tal subida en los precios de materiales de construcción, tal como se muestra en la copia adjunta, en ese entender y no dilatar más el proceso, y estando justificada con las cotizaciones actuales de precio de mercado, realmente existe estas subidas de precio.</w:t>
      </w:r>
    </w:p>
    <w:p w:rsidR="00AF0F6E" w:rsidRPr="002703AC" w:rsidRDefault="00AF0F6E" w:rsidP="00AF0F6E">
      <w:pPr>
        <w:pStyle w:val="Prrafodelista"/>
        <w:ind w:left="1418" w:right="566"/>
        <w:contextualSpacing/>
        <w:jc w:val="both"/>
        <w:rPr>
          <w:rFonts w:ascii="Tahoma" w:hAnsi="Tahoma" w:cs="Tahoma"/>
          <w:i/>
          <w:sz w:val="18"/>
          <w:szCs w:val="18"/>
        </w:rPr>
      </w:pPr>
      <w:r w:rsidRPr="002703AC">
        <w:rPr>
          <w:rFonts w:ascii="Tahoma" w:hAnsi="Tahoma" w:cs="Tahoma"/>
          <w:i/>
          <w:sz w:val="18"/>
          <w:szCs w:val="18"/>
        </w:rPr>
        <w:t>Este problema escapa a nuestras responsabilidades como responsable de las adquisiciones, por tanto solicito se examine este caso siendo contemplado en el art. 224 del reglamento-cualquiera de las partes pueden poner fin a un contrato, por haber sobrevenido causas que impiden la ejecución contractual, a ninguna de las partes se le puede imputar la causal que produce obstáculos para la ejecución del contrato, en consecuencia no es discrecional de La Entidad y el Contratista poner fin al contrato vía Resolución por mutuo acuerdo existiendo causas ajenas a la voluntad de ambas partes, art. 1314 del Código Civil.</w:t>
      </w:r>
    </w:p>
    <w:p w:rsidR="00AF0F6E" w:rsidRPr="002703AC" w:rsidRDefault="00AF0F6E" w:rsidP="00AF0F6E">
      <w:pPr>
        <w:pStyle w:val="Prrafodelista"/>
        <w:ind w:left="1418" w:right="566"/>
        <w:contextualSpacing/>
        <w:jc w:val="both"/>
        <w:rPr>
          <w:rFonts w:ascii="Tahoma" w:hAnsi="Tahoma" w:cs="Tahoma"/>
          <w:i/>
          <w:sz w:val="18"/>
          <w:szCs w:val="18"/>
        </w:rPr>
      </w:pPr>
      <w:r w:rsidRPr="002703AC">
        <w:rPr>
          <w:rFonts w:ascii="Tahoma" w:hAnsi="Tahoma" w:cs="Tahoma"/>
          <w:i/>
          <w:sz w:val="18"/>
          <w:szCs w:val="18"/>
        </w:rPr>
        <w:t xml:space="preserve">(…)”. </w:t>
      </w:r>
      <w:r w:rsidRPr="002703AC">
        <w:rPr>
          <w:rFonts w:ascii="Tahoma" w:hAnsi="Tahoma" w:cs="Tahoma"/>
          <w:sz w:val="18"/>
          <w:szCs w:val="18"/>
        </w:rPr>
        <w:t>(SIC)</w:t>
      </w:r>
    </w:p>
    <w:p w:rsidR="00AF0F6E" w:rsidRDefault="00AF0F6E" w:rsidP="00AF0F6E">
      <w:pPr>
        <w:pStyle w:val="Prrafodelista"/>
        <w:rPr>
          <w:rFonts w:ascii="Tahoma" w:hAnsi="Tahoma" w:cs="Tahoma"/>
          <w:sz w:val="22"/>
          <w:szCs w:val="22"/>
        </w:rPr>
      </w:pPr>
    </w:p>
    <w:p w:rsidR="00AF0F6E" w:rsidRPr="00AF0F6E" w:rsidRDefault="00AF0F6E" w:rsidP="00AF0F6E">
      <w:pPr>
        <w:pStyle w:val="Prrafodelista"/>
        <w:widowControl/>
        <w:numPr>
          <w:ilvl w:val="0"/>
          <w:numId w:val="11"/>
        </w:numPr>
        <w:tabs>
          <w:tab w:val="clear" w:pos="360"/>
        </w:tabs>
        <w:suppressAutoHyphens w:val="0"/>
        <w:ind w:left="567" w:hanging="567"/>
        <w:contextualSpacing/>
        <w:jc w:val="both"/>
        <w:rPr>
          <w:rFonts w:ascii="Tahoma" w:hAnsi="Tahoma" w:cs="Tahoma"/>
          <w:sz w:val="22"/>
          <w:szCs w:val="22"/>
        </w:rPr>
      </w:pPr>
      <w:r w:rsidRPr="00AF0F6E">
        <w:rPr>
          <w:rFonts w:ascii="Tahoma" w:hAnsi="Tahoma" w:cs="Tahoma"/>
          <w:sz w:val="22"/>
          <w:szCs w:val="22"/>
        </w:rPr>
        <w:t>De lo señalado se puede advertir que al Postor le era imposible mantener su oferta o suscribir el contrato respectivo, debido a factores ajenos a su voluntad, es decir el incremento de los precios de los bienes objeto de convocatoria, tal como se ha verificado de los</w:t>
      </w:r>
      <w:r w:rsidRPr="00AF0F6E">
        <w:rPr>
          <w:rFonts w:ascii="Tahoma" w:hAnsi="Tahoma" w:cs="Tahoma"/>
          <w:sz w:val="22"/>
          <w:szCs w:val="22"/>
          <w:lang w:val="es-PE"/>
        </w:rPr>
        <w:t xml:space="preserve"> documentos obrantes en autos.</w:t>
      </w:r>
    </w:p>
    <w:p w:rsidR="00AF0F6E" w:rsidRPr="00AF0F6E" w:rsidRDefault="00AF0F6E" w:rsidP="00AF0F6E">
      <w:pPr>
        <w:pStyle w:val="Prrafodelista"/>
        <w:ind w:left="567"/>
        <w:contextualSpacing/>
        <w:jc w:val="both"/>
        <w:rPr>
          <w:rFonts w:ascii="Tahoma" w:hAnsi="Tahoma" w:cs="Tahoma"/>
          <w:sz w:val="22"/>
          <w:szCs w:val="22"/>
        </w:rPr>
      </w:pPr>
    </w:p>
    <w:p w:rsidR="00AF0F6E" w:rsidRPr="00AF0F6E" w:rsidRDefault="00AF0F6E" w:rsidP="00AF0F6E">
      <w:pPr>
        <w:pStyle w:val="Prrafodelista"/>
        <w:widowControl/>
        <w:numPr>
          <w:ilvl w:val="0"/>
          <w:numId w:val="11"/>
        </w:numPr>
        <w:tabs>
          <w:tab w:val="clear" w:pos="360"/>
        </w:tabs>
        <w:suppressAutoHyphens w:val="0"/>
        <w:ind w:left="567" w:hanging="567"/>
        <w:contextualSpacing/>
        <w:jc w:val="both"/>
        <w:rPr>
          <w:rFonts w:ascii="Tahoma" w:hAnsi="Tahoma" w:cs="Tahoma"/>
          <w:sz w:val="22"/>
          <w:szCs w:val="22"/>
        </w:rPr>
      </w:pPr>
      <w:r w:rsidRPr="00AF0F6E">
        <w:rPr>
          <w:rFonts w:ascii="Tahoma" w:hAnsi="Tahoma" w:cs="Tahoma"/>
          <w:sz w:val="22"/>
          <w:szCs w:val="22"/>
          <w:lang w:val="es-PE"/>
        </w:rPr>
        <w:t>En efecto, se debe considerar</w:t>
      </w:r>
      <w:r w:rsidRPr="00AF0F6E">
        <w:rPr>
          <w:rFonts w:ascii="Tahoma" w:hAnsi="Tahoma" w:cs="Tahoma"/>
          <w:sz w:val="22"/>
          <w:szCs w:val="22"/>
        </w:rPr>
        <w:t xml:space="preserve"> que el Estado actúa sobre criterios de buena fe y en el entendido que en la contratación en general, las dos partes buscan salir beneficiadas al establecer una relación contractual, ambas deben guardar un equilibrio respecto de la ecuación económica entre sus obligaciones y derechos de tal modo que exista un equilibrio económico financiero.</w:t>
      </w:r>
    </w:p>
    <w:p w:rsidR="00AF0F6E" w:rsidRPr="00AF0F6E" w:rsidRDefault="00AF0F6E" w:rsidP="00AF0F6E">
      <w:pPr>
        <w:pStyle w:val="Prrafodelista"/>
        <w:ind w:left="567" w:hanging="567"/>
        <w:contextualSpacing/>
        <w:jc w:val="both"/>
        <w:rPr>
          <w:rFonts w:ascii="Tahoma" w:hAnsi="Tahoma" w:cs="Tahoma"/>
          <w:sz w:val="22"/>
          <w:szCs w:val="22"/>
        </w:rPr>
      </w:pPr>
    </w:p>
    <w:p w:rsidR="00AF0F6E" w:rsidRPr="00AF0F6E" w:rsidRDefault="00AF0F6E" w:rsidP="00AF0F6E">
      <w:pPr>
        <w:pStyle w:val="Prrafodelista"/>
        <w:widowControl/>
        <w:numPr>
          <w:ilvl w:val="0"/>
          <w:numId w:val="11"/>
        </w:numPr>
        <w:tabs>
          <w:tab w:val="clear" w:pos="360"/>
        </w:tabs>
        <w:suppressAutoHyphens w:val="0"/>
        <w:ind w:left="567" w:hanging="567"/>
        <w:contextualSpacing/>
        <w:jc w:val="both"/>
        <w:rPr>
          <w:rFonts w:ascii="Tahoma" w:hAnsi="Tahoma" w:cs="Tahoma"/>
          <w:sz w:val="22"/>
          <w:szCs w:val="22"/>
        </w:rPr>
      </w:pPr>
      <w:r w:rsidRPr="00AF0F6E">
        <w:rPr>
          <w:rFonts w:ascii="Tahoma" w:hAnsi="Tahoma" w:cs="Tahoma"/>
          <w:sz w:val="22"/>
          <w:szCs w:val="22"/>
        </w:rPr>
        <w:t>En este sentido, existiendo desequilibrio y desigualdad, la Entidad no puede obligar a un administrado a firmar contrato y a mantener su oferta bajo estas condiciones, pues eso implicaría un abuso del derecho, situación bajo la cual el titular de un derecho dirige contra la otra parte una exigencia que concuerda con la norma legal, pero que su ejercicio lesiona la buena fe y los fines sociales y económicos del Derecho.</w:t>
      </w:r>
    </w:p>
    <w:p w:rsidR="00AF0F6E" w:rsidRPr="00AF0F6E" w:rsidRDefault="00AF0F6E" w:rsidP="00AF0F6E">
      <w:pPr>
        <w:pStyle w:val="Prrafodelista"/>
        <w:rPr>
          <w:rFonts w:ascii="Tahoma" w:hAnsi="Tahoma" w:cs="Tahoma"/>
          <w:sz w:val="22"/>
          <w:szCs w:val="22"/>
        </w:rPr>
      </w:pPr>
    </w:p>
    <w:p w:rsidR="00AF0F6E" w:rsidRPr="00AF0F6E" w:rsidRDefault="00AF0F6E" w:rsidP="00AF0F6E">
      <w:pPr>
        <w:pStyle w:val="Prrafodelista"/>
        <w:widowControl/>
        <w:numPr>
          <w:ilvl w:val="0"/>
          <w:numId w:val="11"/>
        </w:numPr>
        <w:tabs>
          <w:tab w:val="clear" w:pos="360"/>
        </w:tabs>
        <w:suppressAutoHyphens w:val="0"/>
        <w:ind w:left="567" w:hanging="567"/>
        <w:contextualSpacing/>
        <w:jc w:val="both"/>
        <w:rPr>
          <w:rFonts w:ascii="Tahoma" w:hAnsi="Tahoma" w:cs="Tahoma"/>
          <w:sz w:val="22"/>
          <w:szCs w:val="22"/>
        </w:rPr>
      </w:pPr>
      <w:r w:rsidRPr="00AF0F6E">
        <w:rPr>
          <w:rFonts w:ascii="Tahoma" w:hAnsi="Tahoma" w:cs="Tahoma"/>
          <w:sz w:val="22"/>
          <w:szCs w:val="22"/>
        </w:rPr>
        <w:t>Bajo dicho análisis, en virtud de todo lo expuesto,</w:t>
      </w:r>
      <w:r w:rsidRPr="00AF0F6E">
        <w:rPr>
          <w:rFonts w:ascii="Tahoma" w:hAnsi="Tahoma" w:cs="Tahoma"/>
          <w:sz w:val="22"/>
          <w:szCs w:val="22"/>
          <w:lang w:val="es-PE"/>
        </w:rPr>
        <w:t xml:space="preserve"> existen argumentos y medios probatorios que eximen de responsabilidad al Postor por los hechos cometidos; por </w:t>
      </w:r>
      <w:r w:rsidRPr="00AF0F6E">
        <w:rPr>
          <w:rFonts w:ascii="Tahoma" w:hAnsi="Tahoma" w:cs="Tahoma"/>
          <w:sz w:val="22"/>
          <w:szCs w:val="22"/>
        </w:rPr>
        <w:t>tanto, no existe mérito para atribuir al Postor responsabilidad por la supuesta comisión de la infracción tipificada</w:t>
      </w:r>
      <w:r w:rsidRPr="00AF0F6E">
        <w:rPr>
          <w:rFonts w:ascii="Tahoma" w:hAnsi="Tahoma" w:cs="Tahoma"/>
          <w:sz w:val="22"/>
          <w:szCs w:val="22"/>
          <w:lang w:val="es-PE"/>
        </w:rPr>
        <w:t xml:space="preserve"> en el numeral 1) del artículo 294 del Reglamento de la Ley de Contrataciones y Adquisiciones del Estado aprobado por Decreto Supremo Nº 084-2004-PCM.</w:t>
      </w:r>
    </w:p>
    <w:p w:rsidR="00AF0F6E" w:rsidRPr="00AF0F6E" w:rsidRDefault="00AF0F6E" w:rsidP="00AF0F6E">
      <w:pPr>
        <w:jc w:val="both"/>
        <w:rPr>
          <w:rFonts w:ascii="Tahoma" w:hAnsi="Tahoma" w:cs="Tahoma"/>
          <w:sz w:val="22"/>
          <w:szCs w:val="22"/>
          <w:lang w:val="es-ES_tradnl"/>
        </w:rPr>
      </w:pPr>
    </w:p>
    <w:p w:rsidR="00AF0F6E" w:rsidRPr="00AF0F6E" w:rsidRDefault="00AF0F6E" w:rsidP="00AF0F6E">
      <w:pPr>
        <w:ind w:firstLine="567"/>
        <w:jc w:val="both"/>
        <w:rPr>
          <w:rFonts w:ascii="Tahoma" w:eastAsiaTheme="minorHAnsi" w:hAnsi="Tahoma" w:cs="Tahoma"/>
          <w:color w:val="000000"/>
          <w:sz w:val="22"/>
          <w:szCs w:val="22"/>
        </w:rPr>
      </w:pPr>
      <w:r w:rsidRPr="00AF0F6E">
        <w:rPr>
          <w:rFonts w:ascii="Tahoma" w:hAnsi="Tahoma" w:cs="Tahoma"/>
          <w:sz w:val="22"/>
          <w:szCs w:val="22"/>
        </w:rPr>
        <w:lastRenderedPageBreak/>
        <w:t xml:space="preserve">Por estos fundamentos, </w:t>
      </w:r>
      <w:r w:rsidRPr="00AF0F6E">
        <w:rPr>
          <w:rFonts w:ascii="Tahoma" w:hAnsi="Tahoma" w:cs="Tahoma"/>
          <w:color w:val="000000"/>
          <w:sz w:val="22"/>
          <w:szCs w:val="22"/>
        </w:rPr>
        <w:t>de conformidad con el inf</w:t>
      </w:r>
      <w:r w:rsidRPr="00AF0F6E">
        <w:rPr>
          <w:rFonts w:ascii="Tahoma" w:eastAsia="Calibri" w:hAnsi="Tahoma" w:cs="Tahoma"/>
          <w:color w:val="000000"/>
          <w:sz w:val="22"/>
          <w:szCs w:val="22"/>
        </w:rPr>
        <w:t xml:space="preserve">orme de la Vocal Ponente Dra. Ada Rosa Basulto Liewald y la intervención de los Señores Vocales </w:t>
      </w:r>
      <w:r w:rsidRPr="00AF0F6E">
        <w:rPr>
          <w:rFonts w:ascii="Tahoma" w:eastAsiaTheme="minorHAnsi" w:hAnsi="Tahoma" w:cs="Tahoma"/>
          <w:color w:val="000000"/>
          <w:sz w:val="22"/>
          <w:szCs w:val="22"/>
        </w:rPr>
        <w:t xml:space="preserve">Dr. Carlos Vicente Navas Rondón y </w:t>
      </w:r>
      <w:r w:rsidRPr="00AF0F6E">
        <w:rPr>
          <w:rFonts w:ascii="Tahoma" w:eastAsia="Calibri" w:hAnsi="Tahoma" w:cs="Tahoma"/>
          <w:color w:val="000000"/>
          <w:sz w:val="22"/>
          <w:szCs w:val="22"/>
        </w:rPr>
        <w:t xml:space="preserve">Dra. Janette Elke Ramírez Maynetto; </w:t>
      </w:r>
      <w:r w:rsidRPr="00AF0F6E">
        <w:rPr>
          <w:rFonts w:ascii="Tahoma" w:eastAsiaTheme="minorHAnsi" w:hAnsi="Tahoma" w:cs="Tahoma"/>
          <w:color w:val="000000"/>
          <w:sz w:val="22"/>
          <w:szCs w:val="22"/>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AF0F6E" w:rsidRPr="00AF0F6E" w:rsidRDefault="00AF0F6E" w:rsidP="00AF0F6E">
      <w:pPr>
        <w:ind w:firstLine="426"/>
        <w:jc w:val="both"/>
        <w:rPr>
          <w:rFonts w:ascii="Tahoma" w:hAnsi="Tahoma" w:cs="Tahoma"/>
          <w:sz w:val="22"/>
          <w:szCs w:val="22"/>
        </w:rPr>
      </w:pPr>
    </w:p>
    <w:p w:rsidR="00AF0F6E" w:rsidRPr="00AF0F6E" w:rsidRDefault="00AF0F6E" w:rsidP="00AF0F6E">
      <w:pPr>
        <w:ind w:firstLine="426"/>
        <w:jc w:val="both"/>
        <w:rPr>
          <w:rFonts w:ascii="Tahoma" w:hAnsi="Tahoma" w:cs="Tahoma"/>
          <w:sz w:val="22"/>
          <w:szCs w:val="22"/>
        </w:rPr>
      </w:pPr>
    </w:p>
    <w:p w:rsidR="00AF0F6E" w:rsidRPr="00AF0F6E" w:rsidRDefault="00AF0F6E" w:rsidP="00AF0F6E">
      <w:pPr>
        <w:ind w:firstLine="567"/>
        <w:jc w:val="both"/>
        <w:rPr>
          <w:rFonts w:ascii="Tahoma" w:hAnsi="Tahoma" w:cs="Tahoma"/>
          <w:b/>
          <w:sz w:val="22"/>
          <w:szCs w:val="22"/>
        </w:rPr>
      </w:pPr>
      <w:r w:rsidRPr="00AF0F6E">
        <w:rPr>
          <w:rFonts w:ascii="Tahoma" w:hAnsi="Tahoma" w:cs="Tahoma"/>
          <w:b/>
          <w:sz w:val="22"/>
          <w:szCs w:val="22"/>
        </w:rPr>
        <w:t xml:space="preserve">LA SALA RESUELVE: </w:t>
      </w:r>
    </w:p>
    <w:p w:rsidR="00AF0F6E" w:rsidRPr="00AF0F6E" w:rsidRDefault="00AF0F6E" w:rsidP="00AF0F6E">
      <w:pPr>
        <w:jc w:val="both"/>
        <w:rPr>
          <w:rFonts w:ascii="Tahoma" w:hAnsi="Tahoma" w:cs="Tahoma"/>
          <w:snapToGrid w:val="0"/>
          <w:sz w:val="22"/>
          <w:szCs w:val="22"/>
        </w:rPr>
      </w:pPr>
    </w:p>
    <w:p w:rsidR="00AF0F6E" w:rsidRPr="00AF0F6E" w:rsidRDefault="00AF0F6E" w:rsidP="00AF0F6E">
      <w:pPr>
        <w:numPr>
          <w:ilvl w:val="0"/>
          <w:numId w:val="12"/>
        </w:numPr>
        <w:ind w:left="567" w:hanging="567"/>
        <w:jc w:val="both"/>
        <w:rPr>
          <w:rFonts w:ascii="Tahoma" w:hAnsi="Tahoma" w:cs="Tahoma"/>
          <w:sz w:val="22"/>
          <w:szCs w:val="22"/>
        </w:rPr>
      </w:pPr>
      <w:r w:rsidRPr="00AF0F6E">
        <w:rPr>
          <w:rFonts w:ascii="Tahoma" w:hAnsi="Tahoma" w:cs="Tahoma"/>
          <w:sz w:val="22"/>
          <w:szCs w:val="22"/>
        </w:rPr>
        <w:t xml:space="preserve">Declarar no ha lugar la imposición de sanción </w:t>
      </w:r>
      <w:r w:rsidRPr="00AF0F6E">
        <w:rPr>
          <w:rFonts w:ascii="Tahoma" w:hAnsi="Tahoma" w:cs="Tahoma"/>
          <w:sz w:val="22"/>
          <w:szCs w:val="22"/>
          <w:lang w:val="es-PE"/>
        </w:rPr>
        <w:t xml:space="preserve">a </w:t>
      </w:r>
      <w:r w:rsidRPr="00AF0F6E">
        <w:rPr>
          <w:rFonts w:ascii="Tahoma" w:hAnsi="Tahoma" w:cs="Tahoma"/>
          <w:sz w:val="22"/>
          <w:szCs w:val="22"/>
        </w:rPr>
        <w:t xml:space="preserve">CHAVEZ ARAGON GUIDO JORGE por supuesta responsabilidad </w:t>
      </w:r>
      <w:r w:rsidRPr="00AF0F6E">
        <w:rPr>
          <w:rFonts w:ascii="Tahoma" w:hAnsi="Tahoma" w:cs="Tahoma"/>
          <w:sz w:val="22"/>
          <w:szCs w:val="22"/>
          <w:lang w:val="es-PE"/>
        </w:rPr>
        <w:t>al no haber mantenido su oferta vigente hasta la suscripción del contrato y no suscribir injustificadamente el contrato, correspondiente a la Adjudicación de Menor Cuantía Nº 154-2008-CEP-MPLC (Primera Convocatoria)</w:t>
      </w:r>
      <w:r w:rsidRPr="00AF0F6E">
        <w:rPr>
          <w:rFonts w:ascii="Tahoma" w:hAnsi="Tahoma" w:cs="Tahoma"/>
          <w:sz w:val="22"/>
          <w:szCs w:val="22"/>
        </w:rPr>
        <w:t>; por los fundamentos expuestos.</w:t>
      </w:r>
    </w:p>
    <w:p w:rsidR="00AF0F6E" w:rsidRPr="00AF0F6E" w:rsidRDefault="00AF0F6E" w:rsidP="00AF0F6E">
      <w:pPr>
        <w:pStyle w:val="Prrafodelista"/>
        <w:ind w:left="426"/>
        <w:jc w:val="both"/>
        <w:rPr>
          <w:rFonts w:ascii="Tahoma" w:hAnsi="Tahoma" w:cs="Tahoma"/>
          <w:color w:val="000000" w:themeColor="text1"/>
          <w:sz w:val="22"/>
          <w:szCs w:val="22"/>
          <w:lang w:val="es-ES"/>
        </w:rPr>
      </w:pPr>
    </w:p>
    <w:p w:rsidR="00AF0F6E" w:rsidRPr="00AF0F6E" w:rsidRDefault="00AF0F6E" w:rsidP="00AF0F6E">
      <w:pPr>
        <w:pStyle w:val="Textoindependiente21"/>
        <w:ind w:firstLine="567"/>
        <w:rPr>
          <w:rFonts w:cs="Tahoma"/>
          <w:szCs w:val="22"/>
        </w:rPr>
      </w:pPr>
      <w:r w:rsidRPr="00AF0F6E">
        <w:rPr>
          <w:rFonts w:cs="Tahoma"/>
          <w:szCs w:val="22"/>
        </w:rPr>
        <w:t>Regístrese, comuníquese y publíquese.</w:t>
      </w:r>
    </w:p>
    <w:p w:rsidR="00AF0F6E" w:rsidRPr="00AF0F6E" w:rsidRDefault="00AF0F6E" w:rsidP="00AF0F6E">
      <w:pPr>
        <w:jc w:val="center"/>
        <w:rPr>
          <w:rFonts w:ascii="Tahoma" w:hAnsi="Tahoma" w:cs="Tahoma"/>
          <w:b/>
          <w:sz w:val="22"/>
          <w:szCs w:val="22"/>
        </w:rPr>
      </w:pPr>
    </w:p>
    <w:p w:rsidR="00AF0F6E" w:rsidRPr="00AF0F6E" w:rsidRDefault="00AF0F6E" w:rsidP="00AF0F6E">
      <w:pPr>
        <w:jc w:val="center"/>
        <w:rPr>
          <w:rFonts w:ascii="Tahoma" w:hAnsi="Tahoma" w:cs="Tahoma"/>
          <w:b/>
          <w:sz w:val="22"/>
          <w:szCs w:val="22"/>
        </w:rPr>
      </w:pPr>
    </w:p>
    <w:p w:rsidR="00AF0F6E" w:rsidRPr="00AF0F6E" w:rsidRDefault="00AF0F6E" w:rsidP="00AF0F6E">
      <w:pPr>
        <w:jc w:val="center"/>
        <w:rPr>
          <w:rFonts w:ascii="Tahoma" w:hAnsi="Tahoma" w:cs="Tahoma"/>
          <w:b/>
          <w:sz w:val="22"/>
          <w:szCs w:val="22"/>
        </w:rPr>
      </w:pPr>
    </w:p>
    <w:p w:rsidR="00AF0F6E" w:rsidRPr="00AF0F6E" w:rsidRDefault="00AF0F6E" w:rsidP="00AF0F6E">
      <w:pPr>
        <w:jc w:val="center"/>
        <w:rPr>
          <w:rFonts w:ascii="Tahoma" w:hAnsi="Tahoma" w:cs="Tahoma"/>
          <w:b/>
          <w:sz w:val="22"/>
          <w:szCs w:val="22"/>
        </w:rPr>
      </w:pPr>
    </w:p>
    <w:p w:rsidR="00AF0F6E" w:rsidRPr="00AF0F6E" w:rsidRDefault="00AF0F6E" w:rsidP="00AF0F6E">
      <w:pPr>
        <w:jc w:val="center"/>
        <w:rPr>
          <w:rFonts w:ascii="Tahoma" w:hAnsi="Tahoma" w:cs="Tahoma"/>
          <w:b/>
          <w:sz w:val="22"/>
          <w:szCs w:val="22"/>
        </w:rPr>
      </w:pPr>
    </w:p>
    <w:p w:rsidR="00AF0F6E" w:rsidRPr="00AF0F6E" w:rsidRDefault="00AF0F6E" w:rsidP="00AF0F6E">
      <w:pPr>
        <w:jc w:val="center"/>
        <w:rPr>
          <w:rFonts w:ascii="Tahoma" w:hAnsi="Tahoma" w:cs="Tahoma"/>
          <w:b/>
          <w:sz w:val="22"/>
          <w:szCs w:val="22"/>
        </w:rPr>
      </w:pPr>
    </w:p>
    <w:p w:rsidR="00AF0F6E" w:rsidRPr="00AF0F6E" w:rsidRDefault="00AF0F6E" w:rsidP="00AF0F6E">
      <w:pPr>
        <w:jc w:val="center"/>
        <w:rPr>
          <w:rFonts w:ascii="Tahoma" w:hAnsi="Tahoma" w:cs="Tahoma"/>
          <w:b/>
          <w:sz w:val="22"/>
          <w:szCs w:val="22"/>
        </w:rPr>
      </w:pPr>
    </w:p>
    <w:p w:rsidR="00AF0F6E" w:rsidRPr="00AF0F6E" w:rsidRDefault="00AF0F6E" w:rsidP="00AF0F6E">
      <w:pPr>
        <w:jc w:val="center"/>
        <w:rPr>
          <w:rFonts w:ascii="Tahoma" w:hAnsi="Tahoma" w:cs="Tahoma"/>
          <w:b/>
          <w:sz w:val="22"/>
          <w:szCs w:val="22"/>
        </w:rPr>
      </w:pPr>
    </w:p>
    <w:p w:rsidR="00AF0F6E" w:rsidRPr="00AF0F6E" w:rsidRDefault="00AF0F6E" w:rsidP="00AF0F6E">
      <w:pPr>
        <w:jc w:val="center"/>
        <w:rPr>
          <w:rFonts w:ascii="Tahoma" w:hAnsi="Tahoma" w:cs="Tahoma"/>
          <w:b/>
          <w:shadow/>
          <w:sz w:val="22"/>
          <w:szCs w:val="22"/>
          <w:lang w:val="pt-BR"/>
        </w:rPr>
      </w:pPr>
      <w:r w:rsidRPr="00AF0F6E">
        <w:rPr>
          <w:rFonts w:ascii="Tahoma" w:hAnsi="Tahoma" w:cs="Tahoma"/>
          <w:b/>
          <w:shadow/>
          <w:sz w:val="22"/>
          <w:szCs w:val="22"/>
          <w:lang w:val="pt-BR"/>
        </w:rPr>
        <w:t>PRESIDENTE</w:t>
      </w:r>
    </w:p>
    <w:p w:rsidR="00AF0F6E" w:rsidRPr="00AF0F6E" w:rsidRDefault="00AF0F6E" w:rsidP="00AF0F6E">
      <w:pPr>
        <w:ind w:firstLine="708"/>
        <w:rPr>
          <w:rFonts w:ascii="Tahoma" w:hAnsi="Tahoma" w:cs="Tahoma"/>
          <w:b/>
          <w:shadow/>
          <w:sz w:val="22"/>
          <w:szCs w:val="22"/>
          <w:lang w:val="pt-BR"/>
        </w:rPr>
      </w:pPr>
    </w:p>
    <w:p w:rsidR="00AF0F6E" w:rsidRPr="00AF0F6E" w:rsidRDefault="00AF0F6E" w:rsidP="00AF0F6E">
      <w:pPr>
        <w:ind w:firstLine="708"/>
        <w:rPr>
          <w:rFonts w:ascii="Tahoma" w:hAnsi="Tahoma" w:cs="Tahoma"/>
          <w:b/>
          <w:shadow/>
          <w:sz w:val="22"/>
          <w:szCs w:val="22"/>
          <w:lang w:val="pt-BR"/>
        </w:rPr>
      </w:pPr>
      <w:r w:rsidRPr="00AF0F6E">
        <w:rPr>
          <w:rFonts w:ascii="Tahoma" w:hAnsi="Tahoma" w:cs="Tahoma"/>
          <w:b/>
          <w:shadow/>
          <w:sz w:val="22"/>
          <w:szCs w:val="22"/>
          <w:lang w:val="pt-BR"/>
        </w:rPr>
        <w:t xml:space="preserve">VOCAL           </w:t>
      </w:r>
      <w:r w:rsidRPr="00AF0F6E">
        <w:rPr>
          <w:rFonts w:ascii="Tahoma" w:hAnsi="Tahoma" w:cs="Tahoma"/>
          <w:b/>
          <w:shadow/>
          <w:sz w:val="22"/>
          <w:szCs w:val="22"/>
          <w:lang w:val="pt-BR"/>
        </w:rPr>
        <w:tab/>
      </w:r>
      <w:r w:rsidRPr="00AF0F6E">
        <w:rPr>
          <w:rFonts w:ascii="Tahoma" w:hAnsi="Tahoma" w:cs="Tahoma"/>
          <w:b/>
          <w:shadow/>
          <w:sz w:val="22"/>
          <w:szCs w:val="22"/>
          <w:lang w:val="pt-BR"/>
        </w:rPr>
        <w:tab/>
        <w:t xml:space="preserve">                                                     VOCAL</w:t>
      </w:r>
    </w:p>
    <w:p w:rsidR="00AF0F6E" w:rsidRPr="00AF0F6E" w:rsidRDefault="00AF0F6E" w:rsidP="00AF0F6E">
      <w:pPr>
        <w:ind w:firstLine="708"/>
        <w:rPr>
          <w:rFonts w:ascii="Tahoma" w:hAnsi="Tahoma" w:cs="Tahoma"/>
          <w:b/>
          <w:shadow/>
          <w:sz w:val="22"/>
          <w:szCs w:val="22"/>
          <w:lang w:val="pt-BR"/>
        </w:rPr>
      </w:pPr>
    </w:p>
    <w:p w:rsidR="00AF0F6E" w:rsidRPr="00AF0F6E" w:rsidRDefault="00AF0F6E" w:rsidP="00AF0F6E">
      <w:pPr>
        <w:jc w:val="both"/>
        <w:rPr>
          <w:rFonts w:ascii="Tahoma" w:hAnsi="Tahoma" w:cs="Tahoma"/>
          <w:sz w:val="22"/>
          <w:szCs w:val="22"/>
          <w:lang w:val="pt-BR"/>
        </w:rPr>
      </w:pPr>
      <w:r w:rsidRPr="00AF0F6E">
        <w:rPr>
          <w:rFonts w:ascii="Tahoma" w:hAnsi="Tahoma" w:cs="Tahoma"/>
          <w:sz w:val="22"/>
          <w:szCs w:val="22"/>
          <w:lang w:val="pt-BR"/>
        </w:rPr>
        <w:t>ss.</w:t>
      </w:r>
    </w:p>
    <w:p w:rsidR="00AF0F6E" w:rsidRPr="00AF0F6E" w:rsidRDefault="00AF0F6E" w:rsidP="00AF0F6E">
      <w:pPr>
        <w:pStyle w:val="Textoindependiente21"/>
        <w:tabs>
          <w:tab w:val="left" w:pos="5250"/>
        </w:tabs>
        <w:rPr>
          <w:rFonts w:cs="Tahoma"/>
          <w:szCs w:val="22"/>
          <w:lang w:val="pt-BR"/>
        </w:rPr>
      </w:pPr>
      <w:r w:rsidRPr="00AF0F6E">
        <w:rPr>
          <w:rFonts w:cs="Tahoma"/>
          <w:szCs w:val="22"/>
          <w:lang w:val="pt-BR"/>
        </w:rPr>
        <w:t>Navas Rondón.</w:t>
      </w:r>
    </w:p>
    <w:p w:rsidR="00AF0F6E" w:rsidRPr="00AF0F6E" w:rsidRDefault="00AF0F6E" w:rsidP="00AF0F6E">
      <w:pPr>
        <w:pStyle w:val="Textoindependiente21"/>
        <w:tabs>
          <w:tab w:val="left" w:pos="5250"/>
        </w:tabs>
        <w:rPr>
          <w:rFonts w:cs="Tahoma"/>
          <w:szCs w:val="22"/>
          <w:lang w:val="pt-BR"/>
        </w:rPr>
      </w:pPr>
      <w:r w:rsidRPr="00AF0F6E">
        <w:rPr>
          <w:rFonts w:cs="Tahoma"/>
          <w:szCs w:val="22"/>
        </w:rPr>
        <w:t>Ramírez Maynetto.</w:t>
      </w:r>
    </w:p>
    <w:p w:rsidR="00AF0F6E" w:rsidRPr="00AF0F6E" w:rsidRDefault="00AF0F6E" w:rsidP="00AF0F6E">
      <w:pPr>
        <w:pStyle w:val="Textoindependiente21"/>
        <w:rPr>
          <w:rFonts w:cs="Tahoma"/>
          <w:szCs w:val="22"/>
        </w:rPr>
      </w:pPr>
      <w:r w:rsidRPr="00AF0F6E">
        <w:rPr>
          <w:rFonts w:cs="Tahoma"/>
          <w:szCs w:val="22"/>
        </w:rPr>
        <w:t>Basulto Liewald.</w:t>
      </w:r>
    </w:p>
    <w:p w:rsidR="008B738B" w:rsidRPr="00AF0F6E" w:rsidRDefault="001618C1">
      <w:pPr>
        <w:rPr>
          <w:sz w:val="22"/>
          <w:szCs w:val="22"/>
        </w:rPr>
      </w:pPr>
    </w:p>
    <w:p w:rsidR="00AF0F6E" w:rsidRPr="00AF0F6E" w:rsidRDefault="00AF0F6E">
      <w:pPr>
        <w:rPr>
          <w:sz w:val="22"/>
          <w:szCs w:val="22"/>
        </w:rPr>
      </w:pPr>
    </w:p>
    <w:sectPr w:rsidR="00AF0F6E" w:rsidRPr="00AF0F6E" w:rsidSect="00AF0F6E">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18C1" w:rsidRDefault="001618C1" w:rsidP="00AF0F6E">
      <w:r>
        <w:separator/>
      </w:r>
    </w:p>
  </w:endnote>
  <w:endnote w:type="continuationSeparator" w:id="1">
    <w:p w:rsidR="001618C1" w:rsidRDefault="001618C1" w:rsidP="00AF0F6E">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6516"/>
      <w:docPartObj>
        <w:docPartGallery w:val="Page Numbers (Bottom of Page)"/>
        <w:docPartUnique/>
      </w:docPartObj>
    </w:sdtPr>
    <w:sdtContent>
      <w:sdt>
        <w:sdtPr>
          <w:id w:val="216747541"/>
          <w:docPartObj>
            <w:docPartGallery w:val="Page Numbers (Top of Page)"/>
            <w:docPartUnique/>
          </w:docPartObj>
        </w:sdtPr>
        <w:sdtContent>
          <w:p w:rsidR="00AF0F6E" w:rsidRDefault="00AF0F6E">
            <w:pPr>
              <w:pStyle w:val="Piedepgina"/>
              <w:jc w:val="center"/>
            </w:pPr>
            <w:r>
              <w:t xml:space="preserve">Página </w:t>
            </w:r>
            <w:r w:rsidR="00D66A31">
              <w:rPr>
                <w:b/>
              </w:rPr>
              <w:fldChar w:fldCharType="begin"/>
            </w:r>
            <w:r>
              <w:rPr>
                <w:b/>
              </w:rPr>
              <w:instrText>PAGE</w:instrText>
            </w:r>
            <w:r w:rsidR="00D66A31">
              <w:rPr>
                <w:b/>
              </w:rPr>
              <w:fldChar w:fldCharType="separate"/>
            </w:r>
            <w:r w:rsidR="00D707CA">
              <w:rPr>
                <w:b/>
                <w:noProof/>
              </w:rPr>
              <w:t>1</w:t>
            </w:r>
            <w:r w:rsidR="00D66A31">
              <w:rPr>
                <w:b/>
              </w:rPr>
              <w:fldChar w:fldCharType="end"/>
            </w:r>
            <w:r>
              <w:t xml:space="preserve"> de </w:t>
            </w:r>
            <w:r w:rsidR="00D66A31">
              <w:rPr>
                <w:b/>
              </w:rPr>
              <w:fldChar w:fldCharType="begin"/>
            </w:r>
            <w:r>
              <w:rPr>
                <w:b/>
              </w:rPr>
              <w:instrText>NUMPAGES</w:instrText>
            </w:r>
            <w:r w:rsidR="00D66A31">
              <w:rPr>
                <w:b/>
              </w:rPr>
              <w:fldChar w:fldCharType="separate"/>
            </w:r>
            <w:r w:rsidR="00D707CA">
              <w:rPr>
                <w:b/>
                <w:noProof/>
              </w:rPr>
              <w:t>8</w:t>
            </w:r>
            <w:r w:rsidR="00D66A31">
              <w:rPr>
                <w:b/>
              </w:rPr>
              <w:fldChar w:fldCharType="end"/>
            </w:r>
          </w:p>
        </w:sdtContent>
      </w:sdt>
    </w:sdtContent>
  </w:sdt>
  <w:p w:rsidR="00AF0F6E" w:rsidRDefault="00AF0F6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18C1" w:rsidRDefault="001618C1" w:rsidP="00AF0F6E">
      <w:r>
        <w:separator/>
      </w:r>
    </w:p>
  </w:footnote>
  <w:footnote w:type="continuationSeparator" w:id="1">
    <w:p w:rsidR="001618C1" w:rsidRDefault="001618C1" w:rsidP="00AF0F6E">
      <w:r>
        <w:continuationSeparator/>
      </w:r>
    </w:p>
  </w:footnote>
  <w:footnote w:id="2">
    <w:p w:rsidR="00AF0F6E" w:rsidRDefault="00AF0F6E" w:rsidP="00AF0F6E">
      <w:pPr>
        <w:pStyle w:val="Textonotapie"/>
        <w:jc w:val="both"/>
      </w:pPr>
      <w:r>
        <w:rPr>
          <w:rStyle w:val="Refdenotaalpie"/>
        </w:rPr>
        <w:footnoteRef/>
      </w:r>
      <w:r>
        <w:t xml:space="preserve"> </w:t>
      </w:r>
      <w:r w:rsidRPr="00EB0443">
        <w:rPr>
          <w:i/>
        </w:rPr>
        <w:t xml:space="preserve">Tal como se ha señalado en los antecedentes, </w:t>
      </w:r>
      <w:r>
        <w:rPr>
          <w:i/>
        </w:rPr>
        <w:t>mediante carta del 14 de mayo de 2008, e</w:t>
      </w:r>
      <w:r w:rsidRPr="00EB0443">
        <w:rPr>
          <w:i/>
        </w:rPr>
        <w:t>l Postor</w:t>
      </w:r>
      <w:r>
        <w:rPr>
          <w:i/>
        </w:rPr>
        <w:t xml:space="preserve"> comunicó a la Entidad su imposibilidad de cumplir con la prestación materia del proceso de selección, fecha en la que aún se encontraba vigente la Ley de Contrataciones y Adquisiciones del Estado y su Reglamento, aprobados mediante Decreto Supremo 083-2004-PCM  y Decreto Supremo 084-2004 respectivamente.</w:t>
      </w:r>
    </w:p>
  </w:footnote>
  <w:footnote w:id="3">
    <w:p w:rsidR="00AF0F6E" w:rsidRPr="000A2269" w:rsidRDefault="00AF0F6E" w:rsidP="00AF0F6E">
      <w:pPr>
        <w:pStyle w:val="Textonotapie"/>
        <w:rPr>
          <w:i/>
        </w:rPr>
      </w:pPr>
      <w:r>
        <w:rPr>
          <w:rStyle w:val="Refdenotaalpie"/>
        </w:rPr>
        <w:footnoteRef/>
      </w:r>
      <w:r>
        <w:t xml:space="preserve"> </w:t>
      </w:r>
      <w:r>
        <w:rPr>
          <w:b/>
          <w:i/>
        </w:rPr>
        <w:t>Artículo 76.- Contenido de la Declaración Jurada</w:t>
      </w:r>
    </w:p>
    <w:p w:rsidR="00AF0F6E" w:rsidRDefault="00AF0F6E" w:rsidP="00AF0F6E">
      <w:pPr>
        <w:pStyle w:val="Textonotapie"/>
        <w:jc w:val="both"/>
        <w:rPr>
          <w:i/>
        </w:rPr>
      </w:pPr>
      <w:r>
        <w:rPr>
          <w:i/>
        </w:rPr>
        <w:t>El postor, al presentar su propuesta técnica, deberá acompañar una declaración jurada simple en la cual manifieste lo siguiente:</w:t>
      </w:r>
    </w:p>
    <w:p w:rsidR="00AF0F6E" w:rsidRPr="000A2269" w:rsidRDefault="00AF0F6E" w:rsidP="00AF0F6E">
      <w:pPr>
        <w:pStyle w:val="Textonotapie"/>
        <w:jc w:val="both"/>
        <w:rPr>
          <w:i/>
        </w:rPr>
      </w:pPr>
      <w:r>
        <w:rPr>
          <w:i/>
        </w:rPr>
        <w:t>(…)</w:t>
      </w:r>
    </w:p>
    <w:p w:rsidR="00AF0F6E" w:rsidRPr="000A2269" w:rsidRDefault="00AF0F6E" w:rsidP="00AF0F6E">
      <w:pPr>
        <w:pStyle w:val="Textonotapie"/>
        <w:jc w:val="both"/>
        <w:rPr>
          <w:i/>
        </w:rPr>
      </w:pPr>
      <w:r w:rsidRPr="000A2269">
        <w:rPr>
          <w:i/>
        </w:rPr>
        <w:t xml:space="preserve">d. </w:t>
      </w:r>
      <w:r>
        <w:rPr>
          <w:i/>
        </w:rPr>
        <w:t>Que, s</w:t>
      </w:r>
      <w:r w:rsidRPr="000A2269">
        <w:rPr>
          <w:i/>
        </w:rPr>
        <w:t>e compromete a mantener su oferta durante el proceso de selección y a suscribir el contrato en caso de resultar favorecido con la Buena Pro.</w:t>
      </w:r>
    </w:p>
    <w:p w:rsidR="00AF0F6E" w:rsidRDefault="00AF0F6E" w:rsidP="00AF0F6E">
      <w:pPr>
        <w:pStyle w:val="Textonotapie"/>
        <w:jc w:val="both"/>
      </w:pPr>
      <w:r w:rsidRPr="000A2269">
        <w:rPr>
          <w:i/>
        </w:rPr>
        <w:t>(…)</w:t>
      </w:r>
    </w:p>
  </w:footnote>
  <w:footnote w:id="4">
    <w:p w:rsidR="00AF0F6E" w:rsidRPr="00D6568D" w:rsidRDefault="00AF0F6E" w:rsidP="00AF0F6E">
      <w:pPr>
        <w:pStyle w:val="Textonotapie"/>
        <w:rPr>
          <w:i/>
        </w:rPr>
      </w:pPr>
      <w:r>
        <w:rPr>
          <w:rStyle w:val="Refdenotaalpie"/>
        </w:rPr>
        <w:footnoteRef/>
      </w:r>
      <w:r>
        <w:t xml:space="preserve"> </w:t>
      </w:r>
      <w:r>
        <w:rPr>
          <w:i/>
        </w:rPr>
        <w:t>Documento obrante a fojas 008 del expediente administrativo.</w:t>
      </w:r>
    </w:p>
  </w:footnote>
  <w:footnote w:id="5">
    <w:p w:rsidR="00AF0F6E" w:rsidRPr="00261BC1" w:rsidRDefault="00AF0F6E" w:rsidP="00AF0F6E">
      <w:pPr>
        <w:pStyle w:val="Textonotapie"/>
        <w:rPr>
          <w:i/>
        </w:rPr>
      </w:pPr>
      <w:r>
        <w:rPr>
          <w:rStyle w:val="Refdenotaalpie"/>
        </w:rPr>
        <w:footnoteRef/>
      </w:r>
      <w:r>
        <w:t xml:space="preserve"> </w:t>
      </w:r>
      <w:r>
        <w:rPr>
          <w:i/>
        </w:rPr>
        <w:t>Documento obrante a fojas 0021 del expediente administrativo.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7CA" w:rsidRDefault="00D707CA" w:rsidP="00D707CA">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707CA" w:rsidRDefault="00D707CA" w:rsidP="00D707CA">
    <w:pPr>
      <w:pStyle w:val="Encabezado"/>
      <w:rPr>
        <w:noProof/>
      </w:rPr>
    </w:pPr>
  </w:p>
  <w:p w:rsidR="00D707CA" w:rsidRDefault="00D707CA" w:rsidP="00D707CA">
    <w:pPr>
      <w:pStyle w:val="Encabezado"/>
      <w:rPr>
        <w:noProof/>
      </w:rPr>
    </w:pPr>
  </w:p>
  <w:p w:rsidR="00D707CA" w:rsidRDefault="00D707CA" w:rsidP="00D707CA">
    <w:pPr>
      <w:pStyle w:val="Encabezado"/>
      <w:rPr>
        <w:noProof/>
      </w:rPr>
    </w:pPr>
  </w:p>
  <w:p w:rsidR="00D707CA" w:rsidRDefault="00D707CA" w:rsidP="00D707CA">
    <w:pPr>
      <w:pStyle w:val="Encabezado"/>
      <w:jc w:val="center"/>
    </w:pPr>
    <w:r>
      <w:rPr>
        <w:rFonts w:ascii="Monotype Corsiva" w:hAnsi="Monotype Corsiva"/>
        <w:b/>
        <w:sz w:val="44"/>
        <w:szCs w:val="44"/>
      </w:rPr>
      <w:t xml:space="preserve">Resolución Nº   </w:t>
    </w:r>
    <w:r>
      <w:rPr>
        <w:rFonts w:ascii="Tahoma" w:hAnsi="Tahoma" w:cs="Tahoma"/>
        <w:b/>
        <w:sz w:val="44"/>
        <w:szCs w:val="44"/>
      </w:rPr>
      <w:t>719-2011-TC-S1</w:t>
    </w:r>
  </w:p>
  <w:p w:rsidR="00D707CA" w:rsidRDefault="00D707C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21D3"/>
    <w:multiLevelType w:val="hybridMultilevel"/>
    <w:tmpl w:val="A3AEC34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3B204BB"/>
    <w:multiLevelType w:val="hybridMultilevel"/>
    <w:tmpl w:val="9CB8A43E"/>
    <w:lvl w:ilvl="0" w:tplc="8C68F40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
    <w:nsid w:val="0BBB3A37"/>
    <w:multiLevelType w:val="hybridMultilevel"/>
    <w:tmpl w:val="59A6CE6A"/>
    <w:lvl w:ilvl="0" w:tplc="32926AFA">
      <w:start w:val="1"/>
      <w:numFmt w:val="decimal"/>
      <w:lvlText w:val="%1."/>
      <w:lvlJc w:val="left"/>
      <w:pPr>
        <w:tabs>
          <w:tab w:val="num" w:pos="567"/>
        </w:tabs>
        <w:ind w:left="567" w:hanging="567"/>
      </w:pPr>
      <w:rPr>
        <w:rFonts w:ascii="Tahoma" w:hAnsi="Tahoma" w:cs="Tahoma" w:hint="default"/>
        <w:b/>
        <w:i w:val="0"/>
        <w:shadow w:val="0"/>
        <w:sz w:val="24"/>
        <w:szCs w:val="24"/>
        <w:u w:color="FFFFFF"/>
        <w:lang w:val="es-ES"/>
      </w:rPr>
    </w:lvl>
    <w:lvl w:ilvl="1" w:tplc="0C0A0019">
      <w:start w:val="1"/>
      <w:numFmt w:val="lowerLetter"/>
      <w:lvlText w:val="%2."/>
      <w:lvlJc w:val="left"/>
      <w:pPr>
        <w:tabs>
          <w:tab w:val="num" w:pos="1440"/>
        </w:tabs>
        <w:ind w:left="1440" w:hanging="360"/>
      </w:pPr>
    </w:lvl>
    <w:lvl w:ilvl="2" w:tplc="7FA0BB16">
      <w:start w:val="5"/>
      <w:numFmt w:val="upperLetter"/>
      <w:lvlText w:val="%3."/>
      <w:lvlJc w:val="left"/>
      <w:pPr>
        <w:tabs>
          <w:tab w:val="num" w:pos="454"/>
        </w:tabs>
        <w:ind w:left="454" w:hanging="454"/>
      </w:pPr>
      <w:rPr>
        <w:rFonts w:hint="default"/>
        <w:b/>
        <w:i w:val="0"/>
        <w:shadow/>
        <w:sz w:val="24"/>
        <w:szCs w:val="24"/>
        <w:u w:color="FFFFFF"/>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D89661A"/>
    <w:multiLevelType w:val="hybridMultilevel"/>
    <w:tmpl w:val="35AEA612"/>
    <w:lvl w:ilvl="0" w:tplc="90520088">
      <w:start w:val="1"/>
      <w:numFmt w:val="decimal"/>
      <w:lvlText w:val="%1."/>
      <w:lvlJc w:val="left"/>
      <w:pPr>
        <w:tabs>
          <w:tab w:val="num" w:pos="454"/>
        </w:tabs>
        <w:ind w:left="454" w:hanging="454"/>
      </w:pPr>
      <w:rPr>
        <w:rFonts w:ascii="Tahoma" w:hAnsi="Tahoma" w:cs="Tahoma" w:hint="default"/>
        <w:b/>
        <w:i w:val="0"/>
        <w:shadow w:val="0"/>
        <w:emboss w:val="0"/>
        <w:imprint w:val="0"/>
        <w:color w:val="auto"/>
        <w:sz w:val="22"/>
        <w:szCs w:val="22"/>
        <w:u w:color="FFFFFF"/>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F2C29E6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9FD7B0B"/>
    <w:multiLevelType w:val="hybridMultilevel"/>
    <w:tmpl w:val="CF50EA88"/>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5">
    <w:nsid w:val="326E7289"/>
    <w:multiLevelType w:val="hybridMultilevel"/>
    <w:tmpl w:val="1B3053B2"/>
    <w:lvl w:ilvl="0" w:tplc="651EAA86">
      <w:start w:val="2"/>
      <w:numFmt w:val="decimal"/>
      <w:lvlText w:val="%1."/>
      <w:lvlJc w:val="left"/>
      <w:pPr>
        <w:tabs>
          <w:tab w:val="num" w:pos="360"/>
        </w:tabs>
        <w:ind w:left="360" w:hanging="360"/>
      </w:pPr>
      <w:rPr>
        <w:rFonts w:hint="default"/>
        <w:b/>
        <w:i w:val="0"/>
        <w:sz w:val="24"/>
        <w:szCs w:val="24"/>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6">
    <w:nsid w:val="47C35AAF"/>
    <w:multiLevelType w:val="hybridMultilevel"/>
    <w:tmpl w:val="84228F6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5078559B"/>
    <w:multiLevelType w:val="hybridMultilevel"/>
    <w:tmpl w:val="8A3E12E2"/>
    <w:lvl w:ilvl="0" w:tplc="8460F982">
      <w:numFmt w:val="bullet"/>
      <w:lvlText w:val="-"/>
      <w:lvlJc w:val="left"/>
      <w:pPr>
        <w:ind w:left="900" w:hanging="360"/>
      </w:pPr>
      <w:rPr>
        <w:rFonts w:ascii="Tahoma" w:eastAsia="Times New Roman" w:hAnsi="Tahoma" w:cs="Tahoma"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9">
    <w:nsid w:val="532748E9"/>
    <w:multiLevelType w:val="hybridMultilevel"/>
    <w:tmpl w:val="C2A24AD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631B4696"/>
    <w:multiLevelType w:val="hybridMultilevel"/>
    <w:tmpl w:val="50DC8C56"/>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4CE572F"/>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num w:numId="1">
    <w:abstractNumId w:val="7"/>
  </w:num>
  <w:num w:numId="2">
    <w:abstractNumId w:val="0"/>
  </w:num>
  <w:num w:numId="3">
    <w:abstractNumId w:val="11"/>
  </w:num>
  <w:num w:numId="4">
    <w:abstractNumId w:val="1"/>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9"/>
  </w:num>
  <w:num w:numId="10">
    <w:abstractNumId w:val="2"/>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AF0F6E"/>
    <w:rsid w:val="001618C1"/>
    <w:rsid w:val="00282B39"/>
    <w:rsid w:val="00461B9A"/>
    <w:rsid w:val="005F0E2E"/>
    <w:rsid w:val="00684C06"/>
    <w:rsid w:val="006D0FAF"/>
    <w:rsid w:val="009042C5"/>
    <w:rsid w:val="00AF0F6E"/>
    <w:rsid w:val="00B91CB1"/>
    <w:rsid w:val="00D66A31"/>
    <w:rsid w:val="00D707C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F6E"/>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AF0F6E"/>
    <w:pPr>
      <w:spacing w:after="120"/>
    </w:pPr>
    <w:rPr>
      <w:sz w:val="16"/>
      <w:szCs w:val="16"/>
      <w:lang w:val="es-PE"/>
    </w:rPr>
  </w:style>
  <w:style w:type="character" w:customStyle="1" w:styleId="Textoindependiente3Car">
    <w:name w:val="Texto independiente 3 Car"/>
    <w:basedOn w:val="Fuentedeprrafopredeter"/>
    <w:link w:val="Textoindependiente3"/>
    <w:rsid w:val="00AF0F6E"/>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AF0F6E"/>
    <w:pPr>
      <w:jc w:val="both"/>
    </w:pPr>
    <w:rPr>
      <w:rFonts w:ascii="Tahoma" w:hAnsi="Tahoma"/>
      <w:sz w:val="22"/>
      <w:szCs w:val="20"/>
    </w:rPr>
  </w:style>
  <w:style w:type="paragraph" w:styleId="Prrafodelista">
    <w:name w:val="List Paragraph"/>
    <w:basedOn w:val="Normal"/>
    <w:uiPriority w:val="34"/>
    <w:qFormat/>
    <w:rsid w:val="00AF0F6E"/>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Texto independiente2,Car Car Car Car Car"/>
    <w:basedOn w:val="Normal"/>
    <w:link w:val="TextonotapieCar"/>
    <w:rsid w:val="00AF0F6E"/>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Texto independiente2 Car,Car Car Car Car Car Car"/>
    <w:basedOn w:val="Fuentedeprrafopredeter"/>
    <w:link w:val="Textonotapie"/>
    <w:rsid w:val="00AF0F6E"/>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AF0F6E"/>
    <w:rPr>
      <w:rFonts w:cs="Times New Roman"/>
      <w:vertAlign w:val="superscript"/>
    </w:rPr>
  </w:style>
  <w:style w:type="table" w:styleId="Tablaconcuadrcula">
    <w:name w:val="Table Grid"/>
    <w:basedOn w:val="Tablanormal"/>
    <w:uiPriority w:val="59"/>
    <w:rsid w:val="00AF0F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basedOn w:val="Normal"/>
    <w:link w:val="TextoindependienteCar"/>
    <w:uiPriority w:val="99"/>
    <w:unhideWhenUsed/>
    <w:rsid w:val="00AF0F6E"/>
    <w:pPr>
      <w:spacing w:after="120"/>
    </w:pPr>
  </w:style>
  <w:style w:type="character" w:customStyle="1" w:styleId="TextoindependienteCar">
    <w:name w:val="Texto independiente Car"/>
    <w:basedOn w:val="Fuentedeprrafopredeter"/>
    <w:link w:val="Textoindependiente"/>
    <w:uiPriority w:val="99"/>
    <w:rsid w:val="00AF0F6E"/>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AF0F6E"/>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AF0F6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F0F6E"/>
    <w:pPr>
      <w:tabs>
        <w:tab w:val="center" w:pos="4252"/>
        <w:tab w:val="right" w:pos="8504"/>
      </w:tabs>
    </w:pPr>
  </w:style>
  <w:style w:type="character" w:customStyle="1" w:styleId="PiedepginaCar">
    <w:name w:val="Pie de página Car"/>
    <w:basedOn w:val="Fuentedeprrafopredeter"/>
    <w:link w:val="Piedepgina"/>
    <w:uiPriority w:val="99"/>
    <w:rsid w:val="00AF0F6E"/>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43452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2856</Words>
  <Characters>15712</Characters>
  <Application>Microsoft Office Word</Application>
  <DocSecurity>0</DocSecurity>
  <Lines>130</Lines>
  <Paragraphs>37</Paragraphs>
  <ScaleCrop>false</ScaleCrop>
  <Company/>
  <LinksUpToDate>false</LinksUpToDate>
  <CharactersWithSpaces>18531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5</cp:revision>
  <cp:lastPrinted>2011-04-27T15:48:00Z</cp:lastPrinted>
  <dcterms:created xsi:type="dcterms:W3CDTF">2011-04-27T15:40:00Z</dcterms:created>
  <dcterms:modified xsi:type="dcterms:W3CDTF">2011-05-09T14:24:00Z</dcterms:modified>
</cp:coreProperties>
</file>